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7DE" w:rsidRPr="009C45F9" w:rsidRDefault="005E2B89" w:rsidP="00BB07DE">
      <w:pPr>
        <w:pStyle w:val="Heading1"/>
        <w:rPr>
          <w:rFonts w:ascii="Verdana" w:hAnsi="Verdana"/>
          <w:sz w:val="20"/>
          <w:szCs w:val="20"/>
        </w:rPr>
      </w:pPr>
      <w:r>
        <w:rPr>
          <w:rFonts w:ascii="Verdana" w:hAnsi="Verdana"/>
          <w:sz w:val="20"/>
          <w:szCs w:val="20"/>
        </w:rPr>
        <w:t xml:space="preserve">Part 5 - </w:t>
      </w:r>
      <w:r w:rsidR="00BB07DE" w:rsidRPr="009C45F9">
        <w:rPr>
          <w:rFonts w:ascii="Verdana" w:hAnsi="Verdana"/>
          <w:sz w:val="20"/>
          <w:szCs w:val="20"/>
        </w:rPr>
        <w:t xml:space="preserve">FINANCIAL MANAGEMENT </w:t>
      </w:r>
    </w:p>
    <w:p w:rsidR="00BB07DE" w:rsidRPr="009C45F9" w:rsidRDefault="00BB07DE" w:rsidP="00BB07DE">
      <w:pPr>
        <w:jc w:val="center"/>
        <w:rPr>
          <w:rFonts w:ascii="Verdana" w:hAnsi="Verdana"/>
          <w:b/>
        </w:rPr>
      </w:pPr>
    </w:p>
    <w:tbl>
      <w:tblPr>
        <w:tblW w:w="0" w:type="auto"/>
        <w:jc w:val="center"/>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5"/>
        <w:gridCol w:w="1167"/>
        <w:gridCol w:w="1167"/>
        <w:gridCol w:w="1398"/>
      </w:tblGrid>
      <w:tr w:rsidR="00BB07DE" w:rsidRPr="009C45F9" w:rsidTr="007E0B54">
        <w:trPr>
          <w:tblHeader/>
          <w:jc w:val="center"/>
        </w:trPr>
        <w:tc>
          <w:tcPr>
            <w:tcW w:w="8957" w:type="dxa"/>
            <w:gridSpan w:val="4"/>
          </w:tcPr>
          <w:p w:rsidR="00BB07DE" w:rsidRPr="00BB07DE" w:rsidRDefault="00BB07DE" w:rsidP="001C2C30">
            <w:pPr>
              <w:rPr>
                <w:rFonts w:ascii="Verdana" w:hAnsi="Verdana"/>
                <w:b/>
                <w:sz w:val="22"/>
                <w:szCs w:val="22"/>
              </w:rPr>
            </w:pPr>
            <w:r w:rsidRPr="00BB07DE">
              <w:rPr>
                <w:rFonts w:ascii="Verdana" w:hAnsi="Verdana"/>
                <w:b/>
                <w:sz w:val="22"/>
                <w:szCs w:val="22"/>
              </w:rPr>
              <w:t>TABLE 1. KEY FINANCIAL RESULTS</w:t>
            </w:r>
          </w:p>
        </w:tc>
      </w:tr>
      <w:tr w:rsidR="00BB07DE" w:rsidRPr="009C45F9" w:rsidTr="007E0B54">
        <w:trPr>
          <w:tblHeader/>
          <w:jc w:val="center"/>
        </w:trPr>
        <w:tc>
          <w:tcPr>
            <w:tcW w:w="5225" w:type="dxa"/>
          </w:tcPr>
          <w:p w:rsidR="00BB07DE" w:rsidRPr="00BB07DE" w:rsidRDefault="00BB07DE" w:rsidP="001C2C30">
            <w:pPr>
              <w:rPr>
                <w:rFonts w:ascii="Verdana" w:hAnsi="Verdana"/>
                <w:b/>
                <w:sz w:val="22"/>
                <w:szCs w:val="22"/>
              </w:rPr>
            </w:pPr>
            <w:r w:rsidRPr="00BB07DE">
              <w:rPr>
                <w:rFonts w:ascii="Verdana" w:hAnsi="Verdana"/>
                <w:b/>
                <w:sz w:val="22"/>
                <w:szCs w:val="22"/>
              </w:rPr>
              <w:br/>
              <w:t>YEAR ENDED 30 JUNE</w:t>
            </w:r>
          </w:p>
        </w:tc>
        <w:tc>
          <w:tcPr>
            <w:tcW w:w="1167" w:type="dxa"/>
            <w:shd w:val="clear" w:color="auto" w:fill="CCCCCC"/>
          </w:tcPr>
          <w:p w:rsidR="00BB07DE" w:rsidRPr="00BB07DE" w:rsidRDefault="00BB07DE" w:rsidP="00BB07DE">
            <w:pPr>
              <w:jc w:val="center"/>
              <w:rPr>
                <w:rFonts w:ascii="Verdana" w:hAnsi="Verdana"/>
                <w:b/>
                <w:sz w:val="22"/>
                <w:szCs w:val="22"/>
              </w:rPr>
            </w:pPr>
            <w:r w:rsidRPr="00BB07DE">
              <w:rPr>
                <w:rFonts w:ascii="Verdana" w:hAnsi="Verdana"/>
                <w:b/>
                <w:sz w:val="22"/>
                <w:szCs w:val="22"/>
              </w:rPr>
              <w:t>2012</w:t>
            </w:r>
          </w:p>
          <w:p w:rsidR="00BB07DE" w:rsidRPr="00BB07DE" w:rsidRDefault="00BB07DE" w:rsidP="00BB07DE">
            <w:pPr>
              <w:jc w:val="center"/>
              <w:rPr>
                <w:rFonts w:ascii="Verdana" w:hAnsi="Verdana"/>
                <w:b/>
                <w:sz w:val="22"/>
                <w:szCs w:val="22"/>
              </w:rPr>
            </w:pPr>
            <w:r w:rsidRPr="00BB07DE">
              <w:rPr>
                <w:rFonts w:ascii="Verdana" w:hAnsi="Verdana"/>
                <w:b/>
                <w:sz w:val="22"/>
                <w:szCs w:val="22"/>
              </w:rPr>
              <w:t>$m</w:t>
            </w:r>
          </w:p>
        </w:tc>
        <w:tc>
          <w:tcPr>
            <w:tcW w:w="1167" w:type="dxa"/>
          </w:tcPr>
          <w:p w:rsidR="00BB07DE" w:rsidRPr="00BB07DE" w:rsidRDefault="00BB07DE" w:rsidP="00BB07DE">
            <w:pPr>
              <w:jc w:val="center"/>
              <w:rPr>
                <w:rFonts w:ascii="Verdana" w:hAnsi="Verdana"/>
                <w:b/>
                <w:sz w:val="22"/>
                <w:szCs w:val="22"/>
              </w:rPr>
            </w:pPr>
            <w:r w:rsidRPr="00BB07DE">
              <w:rPr>
                <w:rFonts w:ascii="Verdana" w:hAnsi="Verdana"/>
                <w:b/>
                <w:sz w:val="22"/>
                <w:szCs w:val="22"/>
              </w:rPr>
              <w:t>2011</w:t>
            </w:r>
          </w:p>
          <w:p w:rsidR="00BB07DE" w:rsidRPr="00BB07DE" w:rsidRDefault="00BB07DE" w:rsidP="00BB07DE">
            <w:pPr>
              <w:jc w:val="center"/>
              <w:rPr>
                <w:rFonts w:ascii="Verdana" w:hAnsi="Verdana"/>
                <w:b/>
                <w:sz w:val="22"/>
                <w:szCs w:val="22"/>
              </w:rPr>
            </w:pPr>
            <w:r w:rsidRPr="00BB07DE">
              <w:rPr>
                <w:rFonts w:ascii="Verdana" w:hAnsi="Verdana"/>
                <w:b/>
                <w:sz w:val="22"/>
                <w:szCs w:val="22"/>
              </w:rPr>
              <w:t>$m</w:t>
            </w:r>
          </w:p>
        </w:tc>
        <w:tc>
          <w:tcPr>
            <w:tcW w:w="1398" w:type="dxa"/>
          </w:tcPr>
          <w:p w:rsidR="00BB07DE" w:rsidRPr="00BB07DE" w:rsidRDefault="00BB07DE" w:rsidP="00BB07DE">
            <w:pPr>
              <w:jc w:val="center"/>
              <w:rPr>
                <w:rFonts w:ascii="Verdana" w:hAnsi="Verdana"/>
                <w:b/>
                <w:sz w:val="22"/>
                <w:szCs w:val="22"/>
              </w:rPr>
            </w:pPr>
            <w:r w:rsidRPr="00BB07DE">
              <w:rPr>
                <w:rFonts w:ascii="Verdana" w:hAnsi="Verdana"/>
                <w:b/>
                <w:sz w:val="22"/>
                <w:szCs w:val="22"/>
              </w:rPr>
              <w:t>$m change</w:t>
            </w:r>
          </w:p>
          <w:p w:rsidR="00BB07DE" w:rsidRPr="00BB07DE" w:rsidRDefault="00BB07DE" w:rsidP="00BB07DE">
            <w:pPr>
              <w:jc w:val="center"/>
              <w:rPr>
                <w:rFonts w:ascii="Verdana" w:hAnsi="Verdana"/>
                <w:b/>
                <w:sz w:val="22"/>
                <w:szCs w:val="22"/>
              </w:rPr>
            </w:pPr>
            <w:r w:rsidRPr="00BB07DE">
              <w:rPr>
                <w:rFonts w:ascii="Verdana" w:hAnsi="Verdana"/>
                <w:b/>
                <w:sz w:val="22"/>
                <w:szCs w:val="22"/>
              </w:rPr>
              <w:t>inc/(</w:t>
            </w:r>
            <w:proofErr w:type="spellStart"/>
            <w:r w:rsidRPr="00BB07DE">
              <w:rPr>
                <w:rFonts w:ascii="Verdana" w:hAnsi="Verdana"/>
                <w:b/>
                <w:sz w:val="22"/>
                <w:szCs w:val="22"/>
              </w:rPr>
              <w:t>dec</w:t>
            </w:r>
            <w:proofErr w:type="spellEnd"/>
            <w:r w:rsidRPr="00BB07DE">
              <w:rPr>
                <w:rFonts w:ascii="Verdana" w:hAnsi="Verdana"/>
                <w:b/>
                <w:sz w:val="22"/>
                <w:szCs w:val="22"/>
              </w:rPr>
              <w:t>)</w:t>
            </w:r>
          </w:p>
        </w:tc>
      </w:tr>
      <w:tr w:rsidR="00BB07DE" w:rsidRPr="009C45F9" w:rsidTr="007E0B54">
        <w:trPr>
          <w:tblHeader/>
          <w:jc w:val="center"/>
        </w:trPr>
        <w:tc>
          <w:tcPr>
            <w:tcW w:w="5225" w:type="dxa"/>
          </w:tcPr>
          <w:p w:rsidR="00BB07DE" w:rsidRPr="00BB07DE" w:rsidRDefault="00BB07DE" w:rsidP="001C2C30">
            <w:pPr>
              <w:rPr>
                <w:rFonts w:ascii="Verdana" w:hAnsi="Verdana"/>
                <w:b/>
                <w:sz w:val="22"/>
                <w:szCs w:val="22"/>
              </w:rPr>
            </w:pPr>
          </w:p>
        </w:tc>
        <w:tc>
          <w:tcPr>
            <w:tcW w:w="1167" w:type="dxa"/>
            <w:shd w:val="clear" w:color="auto" w:fill="CCCCCC"/>
          </w:tcPr>
          <w:p w:rsidR="00BB07DE" w:rsidRPr="00BB07DE" w:rsidRDefault="00BB07DE" w:rsidP="00BB07DE">
            <w:pPr>
              <w:tabs>
                <w:tab w:val="center" w:pos="561"/>
              </w:tabs>
              <w:rPr>
                <w:rFonts w:ascii="Verdana" w:hAnsi="Verdana"/>
                <w:sz w:val="22"/>
                <w:szCs w:val="22"/>
              </w:rPr>
            </w:pPr>
          </w:p>
        </w:tc>
        <w:tc>
          <w:tcPr>
            <w:tcW w:w="1167" w:type="dxa"/>
          </w:tcPr>
          <w:p w:rsidR="00BB07DE" w:rsidRPr="00BB07DE" w:rsidRDefault="00BB07DE" w:rsidP="00BB07DE">
            <w:pPr>
              <w:tabs>
                <w:tab w:val="center" w:pos="561"/>
              </w:tabs>
              <w:rPr>
                <w:rFonts w:ascii="Verdana" w:hAnsi="Verdana"/>
                <w:sz w:val="22"/>
                <w:szCs w:val="22"/>
              </w:rPr>
            </w:pPr>
          </w:p>
        </w:tc>
        <w:tc>
          <w:tcPr>
            <w:tcW w:w="1398" w:type="dxa"/>
          </w:tcPr>
          <w:p w:rsidR="00BB07DE" w:rsidRPr="00BB07DE" w:rsidRDefault="00BB07DE" w:rsidP="001C2C30">
            <w:pPr>
              <w:rPr>
                <w:rFonts w:ascii="Verdana" w:hAnsi="Verdana"/>
                <w:sz w:val="22"/>
                <w:szCs w:val="22"/>
              </w:rPr>
            </w:pPr>
          </w:p>
        </w:tc>
      </w:tr>
      <w:tr w:rsidR="00BB07DE" w:rsidRPr="009C45F9" w:rsidTr="007E0B54">
        <w:trPr>
          <w:tblHeader/>
          <w:jc w:val="center"/>
        </w:trPr>
        <w:tc>
          <w:tcPr>
            <w:tcW w:w="5225" w:type="dxa"/>
          </w:tcPr>
          <w:p w:rsidR="00BB07DE" w:rsidRPr="00BB07DE" w:rsidRDefault="00BB07DE" w:rsidP="001C2C30">
            <w:pPr>
              <w:rPr>
                <w:rFonts w:ascii="Verdana" w:hAnsi="Verdana"/>
                <w:b/>
                <w:sz w:val="22"/>
                <w:szCs w:val="22"/>
              </w:rPr>
            </w:pPr>
            <w:r w:rsidRPr="00BB07DE">
              <w:rPr>
                <w:rFonts w:ascii="Verdana" w:hAnsi="Verdana"/>
                <w:b/>
                <w:sz w:val="22"/>
                <w:szCs w:val="22"/>
              </w:rPr>
              <w:t>FINANCIAL PERFORMANCE</w:t>
            </w:r>
          </w:p>
        </w:tc>
        <w:tc>
          <w:tcPr>
            <w:tcW w:w="1167" w:type="dxa"/>
            <w:shd w:val="clear" w:color="auto" w:fill="CCCCCC"/>
          </w:tcPr>
          <w:p w:rsidR="00BB07DE" w:rsidRPr="00BB07DE" w:rsidRDefault="00BB07DE" w:rsidP="00BB07DE">
            <w:pPr>
              <w:tabs>
                <w:tab w:val="center" w:pos="561"/>
              </w:tabs>
              <w:rPr>
                <w:rFonts w:ascii="Verdana" w:hAnsi="Verdana"/>
                <w:sz w:val="22"/>
                <w:szCs w:val="22"/>
              </w:rPr>
            </w:pPr>
          </w:p>
        </w:tc>
        <w:tc>
          <w:tcPr>
            <w:tcW w:w="1167" w:type="dxa"/>
          </w:tcPr>
          <w:p w:rsidR="00BB07DE" w:rsidRPr="00BB07DE" w:rsidRDefault="00BB07DE" w:rsidP="00BB07DE">
            <w:pPr>
              <w:tabs>
                <w:tab w:val="center" w:pos="561"/>
              </w:tabs>
              <w:rPr>
                <w:rFonts w:ascii="Verdana" w:hAnsi="Verdana"/>
                <w:sz w:val="22"/>
                <w:szCs w:val="22"/>
              </w:rPr>
            </w:pPr>
          </w:p>
        </w:tc>
        <w:tc>
          <w:tcPr>
            <w:tcW w:w="1398" w:type="dxa"/>
          </w:tcPr>
          <w:p w:rsidR="00BB07DE" w:rsidRPr="00BB07DE" w:rsidRDefault="00BB07DE" w:rsidP="001C2C30">
            <w:pPr>
              <w:rPr>
                <w:rFonts w:ascii="Verdana" w:hAnsi="Verdana"/>
                <w:sz w:val="22"/>
                <w:szCs w:val="22"/>
              </w:rPr>
            </w:pPr>
          </w:p>
        </w:tc>
      </w:tr>
      <w:tr w:rsidR="00BB07DE" w:rsidRPr="009C45F9" w:rsidTr="007E0B54">
        <w:trPr>
          <w:tblHeader/>
          <w:jc w:val="center"/>
        </w:trPr>
        <w:tc>
          <w:tcPr>
            <w:tcW w:w="5225" w:type="dxa"/>
          </w:tcPr>
          <w:p w:rsidR="00BB07DE" w:rsidRPr="00BB07DE" w:rsidRDefault="00BB07DE" w:rsidP="001C2C30">
            <w:pPr>
              <w:rPr>
                <w:rFonts w:ascii="Verdana" w:hAnsi="Verdana"/>
                <w:sz w:val="22"/>
                <w:szCs w:val="22"/>
              </w:rPr>
            </w:pPr>
            <w:r w:rsidRPr="00BB07DE">
              <w:rPr>
                <w:rFonts w:ascii="Verdana" w:hAnsi="Verdana"/>
                <w:sz w:val="22"/>
                <w:szCs w:val="22"/>
              </w:rPr>
              <w:t>Income from Transactions</w:t>
            </w:r>
          </w:p>
        </w:tc>
        <w:tc>
          <w:tcPr>
            <w:tcW w:w="1167" w:type="dxa"/>
            <w:shd w:val="clear" w:color="auto" w:fill="CCCCCC"/>
          </w:tcPr>
          <w:p w:rsidR="00BB07DE" w:rsidRPr="00BB07DE" w:rsidRDefault="00BB07DE" w:rsidP="00BB07DE">
            <w:pPr>
              <w:tabs>
                <w:tab w:val="decimal" w:pos="703"/>
              </w:tabs>
              <w:rPr>
                <w:rFonts w:ascii="Verdana" w:hAnsi="Verdana"/>
                <w:sz w:val="22"/>
                <w:szCs w:val="22"/>
              </w:rPr>
            </w:pPr>
            <w:r w:rsidRPr="00BB07DE">
              <w:rPr>
                <w:rFonts w:ascii="Verdana" w:hAnsi="Verdana"/>
                <w:sz w:val="22"/>
                <w:szCs w:val="22"/>
              </w:rPr>
              <w:t>2,013.3</w:t>
            </w:r>
          </w:p>
        </w:tc>
        <w:tc>
          <w:tcPr>
            <w:tcW w:w="1167" w:type="dxa"/>
          </w:tcPr>
          <w:p w:rsidR="00BB07DE" w:rsidRPr="00BB07DE" w:rsidRDefault="00BB07DE" w:rsidP="00BB07DE">
            <w:pPr>
              <w:tabs>
                <w:tab w:val="decimal" w:pos="703"/>
              </w:tabs>
              <w:rPr>
                <w:rFonts w:ascii="Verdana" w:hAnsi="Verdana"/>
                <w:sz w:val="22"/>
                <w:szCs w:val="22"/>
              </w:rPr>
            </w:pPr>
            <w:r w:rsidRPr="00BB07DE">
              <w:rPr>
                <w:rFonts w:ascii="Verdana" w:hAnsi="Verdana"/>
                <w:sz w:val="22"/>
                <w:szCs w:val="22"/>
              </w:rPr>
              <w:t>1,709.2</w:t>
            </w:r>
          </w:p>
        </w:tc>
        <w:tc>
          <w:tcPr>
            <w:tcW w:w="1398" w:type="dxa"/>
          </w:tcPr>
          <w:p w:rsidR="00BB07DE" w:rsidRPr="00BB07DE" w:rsidRDefault="00BB07DE" w:rsidP="00BB07DE">
            <w:pPr>
              <w:tabs>
                <w:tab w:val="decimal" w:pos="703"/>
              </w:tabs>
              <w:rPr>
                <w:rFonts w:ascii="Verdana" w:hAnsi="Verdana"/>
                <w:sz w:val="22"/>
                <w:szCs w:val="22"/>
              </w:rPr>
            </w:pPr>
            <w:r w:rsidRPr="00BB07DE">
              <w:rPr>
                <w:rFonts w:ascii="Verdana" w:hAnsi="Verdana"/>
                <w:sz w:val="22"/>
                <w:szCs w:val="22"/>
              </w:rPr>
              <w:t>304.1</w:t>
            </w:r>
          </w:p>
        </w:tc>
      </w:tr>
      <w:tr w:rsidR="00BB07DE" w:rsidRPr="009C45F9" w:rsidTr="007E0B54">
        <w:trPr>
          <w:tblHeader/>
          <w:jc w:val="center"/>
        </w:trPr>
        <w:tc>
          <w:tcPr>
            <w:tcW w:w="5225" w:type="dxa"/>
          </w:tcPr>
          <w:p w:rsidR="00BB07DE" w:rsidRPr="00BB07DE" w:rsidRDefault="00BB07DE" w:rsidP="001C2C30">
            <w:pPr>
              <w:rPr>
                <w:rFonts w:ascii="Verdana" w:hAnsi="Verdana"/>
                <w:sz w:val="22"/>
                <w:szCs w:val="22"/>
              </w:rPr>
            </w:pPr>
            <w:r w:rsidRPr="00BB07DE">
              <w:rPr>
                <w:rFonts w:ascii="Verdana" w:hAnsi="Verdana"/>
                <w:sz w:val="22"/>
                <w:szCs w:val="22"/>
              </w:rPr>
              <w:t>Expenses from Transactions</w:t>
            </w:r>
          </w:p>
        </w:tc>
        <w:tc>
          <w:tcPr>
            <w:tcW w:w="1167" w:type="dxa"/>
            <w:shd w:val="clear" w:color="auto" w:fill="CCCCCC"/>
          </w:tcPr>
          <w:p w:rsidR="00BB07DE" w:rsidRPr="00BB07DE" w:rsidRDefault="00BB07DE" w:rsidP="00BB07DE">
            <w:pPr>
              <w:tabs>
                <w:tab w:val="decimal" w:pos="703"/>
              </w:tabs>
              <w:rPr>
                <w:rFonts w:ascii="Verdana" w:hAnsi="Verdana"/>
                <w:sz w:val="22"/>
                <w:szCs w:val="22"/>
              </w:rPr>
            </w:pPr>
            <w:r w:rsidRPr="00BB07DE">
              <w:rPr>
                <w:rFonts w:ascii="Verdana" w:hAnsi="Verdana"/>
                <w:sz w:val="22"/>
                <w:szCs w:val="22"/>
              </w:rPr>
              <w:t>1,521.6</w:t>
            </w:r>
          </w:p>
        </w:tc>
        <w:tc>
          <w:tcPr>
            <w:tcW w:w="1167" w:type="dxa"/>
          </w:tcPr>
          <w:p w:rsidR="00BB07DE" w:rsidRPr="00BB07DE" w:rsidRDefault="00BB07DE" w:rsidP="00BB07DE">
            <w:pPr>
              <w:tabs>
                <w:tab w:val="decimal" w:pos="703"/>
              </w:tabs>
              <w:rPr>
                <w:rFonts w:ascii="Verdana" w:hAnsi="Verdana"/>
                <w:sz w:val="22"/>
                <w:szCs w:val="22"/>
              </w:rPr>
            </w:pPr>
            <w:r w:rsidRPr="00BB07DE">
              <w:rPr>
                <w:rFonts w:ascii="Verdana" w:hAnsi="Verdana"/>
                <w:sz w:val="22"/>
                <w:szCs w:val="22"/>
              </w:rPr>
              <w:t>1,496.2</w:t>
            </w:r>
          </w:p>
        </w:tc>
        <w:tc>
          <w:tcPr>
            <w:tcW w:w="1398" w:type="dxa"/>
          </w:tcPr>
          <w:p w:rsidR="00BB07DE" w:rsidRPr="00BB07DE" w:rsidRDefault="00BB07DE" w:rsidP="00BB07DE">
            <w:pPr>
              <w:tabs>
                <w:tab w:val="decimal" w:pos="703"/>
              </w:tabs>
              <w:rPr>
                <w:rFonts w:ascii="Verdana" w:hAnsi="Verdana"/>
                <w:sz w:val="22"/>
                <w:szCs w:val="22"/>
              </w:rPr>
            </w:pPr>
            <w:r w:rsidRPr="00BB07DE">
              <w:rPr>
                <w:rFonts w:ascii="Verdana" w:hAnsi="Verdana"/>
                <w:sz w:val="22"/>
                <w:szCs w:val="22"/>
              </w:rPr>
              <w:t>25.4</w:t>
            </w:r>
          </w:p>
        </w:tc>
      </w:tr>
      <w:tr w:rsidR="00BB07DE" w:rsidRPr="009C45F9" w:rsidTr="007E0B54">
        <w:trPr>
          <w:tblHeader/>
          <w:jc w:val="center"/>
        </w:trPr>
        <w:tc>
          <w:tcPr>
            <w:tcW w:w="5225" w:type="dxa"/>
          </w:tcPr>
          <w:p w:rsidR="00BB07DE" w:rsidRPr="00BB07DE" w:rsidRDefault="00BB07DE" w:rsidP="001C2C30">
            <w:pPr>
              <w:rPr>
                <w:rFonts w:ascii="Verdana" w:hAnsi="Verdana"/>
                <w:sz w:val="22"/>
                <w:szCs w:val="22"/>
              </w:rPr>
            </w:pPr>
            <w:r w:rsidRPr="00BB07DE">
              <w:rPr>
                <w:rFonts w:ascii="Verdana" w:hAnsi="Verdana"/>
                <w:sz w:val="22"/>
                <w:szCs w:val="22"/>
              </w:rPr>
              <w:t>NET RESULT FROM TRANSACTIONS</w:t>
            </w:r>
          </w:p>
        </w:tc>
        <w:tc>
          <w:tcPr>
            <w:tcW w:w="1167" w:type="dxa"/>
            <w:shd w:val="clear" w:color="auto" w:fill="CCCCCC"/>
          </w:tcPr>
          <w:p w:rsidR="00BB07DE" w:rsidRPr="00BB07DE" w:rsidRDefault="00BB07DE" w:rsidP="00BB07DE">
            <w:pPr>
              <w:tabs>
                <w:tab w:val="decimal" w:pos="703"/>
              </w:tabs>
              <w:rPr>
                <w:rFonts w:ascii="Verdana" w:hAnsi="Verdana"/>
                <w:sz w:val="22"/>
                <w:szCs w:val="22"/>
              </w:rPr>
            </w:pPr>
            <w:r w:rsidRPr="00BB07DE">
              <w:rPr>
                <w:rFonts w:ascii="Verdana" w:hAnsi="Verdana"/>
                <w:sz w:val="22"/>
                <w:szCs w:val="22"/>
              </w:rPr>
              <w:t>491.7</w:t>
            </w:r>
          </w:p>
        </w:tc>
        <w:tc>
          <w:tcPr>
            <w:tcW w:w="1167" w:type="dxa"/>
          </w:tcPr>
          <w:p w:rsidR="00BB07DE" w:rsidRPr="00BB07DE" w:rsidRDefault="00BB07DE" w:rsidP="00BB07DE">
            <w:pPr>
              <w:tabs>
                <w:tab w:val="decimal" w:pos="703"/>
              </w:tabs>
              <w:rPr>
                <w:rFonts w:ascii="Verdana" w:hAnsi="Verdana"/>
                <w:sz w:val="22"/>
                <w:szCs w:val="22"/>
              </w:rPr>
            </w:pPr>
            <w:r w:rsidRPr="00BB07DE">
              <w:rPr>
                <w:rFonts w:ascii="Verdana" w:hAnsi="Verdana"/>
                <w:sz w:val="22"/>
                <w:szCs w:val="22"/>
              </w:rPr>
              <w:t>213.0</w:t>
            </w:r>
          </w:p>
        </w:tc>
        <w:tc>
          <w:tcPr>
            <w:tcW w:w="1398" w:type="dxa"/>
          </w:tcPr>
          <w:p w:rsidR="00BB07DE" w:rsidRPr="00BB07DE" w:rsidRDefault="00BB07DE" w:rsidP="00BB07DE">
            <w:pPr>
              <w:tabs>
                <w:tab w:val="decimal" w:pos="703"/>
              </w:tabs>
              <w:rPr>
                <w:rFonts w:ascii="Verdana" w:hAnsi="Verdana"/>
                <w:sz w:val="22"/>
                <w:szCs w:val="22"/>
              </w:rPr>
            </w:pPr>
            <w:r w:rsidRPr="00BB07DE">
              <w:rPr>
                <w:rFonts w:ascii="Verdana" w:hAnsi="Verdana"/>
                <w:sz w:val="22"/>
                <w:szCs w:val="22"/>
              </w:rPr>
              <w:t>278.7</w:t>
            </w:r>
          </w:p>
        </w:tc>
      </w:tr>
      <w:tr w:rsidR="00BB07DE" w:rsidRPr="009C45F9" w:rsidTr="007E0B54">
        <w:trPr>
          <w:tblHeader/>
          <w:jc w:val="center"/>
        </w:trPr>
        <w:tc>
          <w:tcPr>
            <w:tcW w:w="5225" w:type="dxa"/>
          </w:tcPr>
          <w:p w:rsidR="00BB07DE" w:rsidRPr="00BB07DE" w:rsidRDefault="00BB07DE" w:rsidP="001C2C30">
            <w:pPr>
              <w:rPr>
                <w:rFonts w:ascii="Verdana" w:hAnsi="Verdana"/>
                <w:sz w:val="22"/>
                <w:szCs w:val="22"/>
              </w:rPr>
            </w:pPr>
            <w:r w:rsidRPr="00BB07DE">
              <w:rPr>
                <w:rFonts w:ascii="Verdana" w:hAnsi="Verdana"/>
                <w:sz w:val="22"/>
                <w:szCs w:val="22"/>
              </w:rPr>
              <w:t>Other Economic Flows included in Net Result</w:t>
            </w:r>
          </w:p>
        </w:tc>
        <w:tc>
          <w:tcPr>
            <w:tcW w:w="1167" w:type="dxa"/>
            <w:shd w:val="clear" w:color="auto" w:fill="CCCCCC"/>
          </w:tcPr>
          <w:p w:rsidR="00BB07DE" w:rsidRPr="00BB07DE" w:rsidRDefault="00BB07DE" w:rsidP="00BB07DE">
            <w:pPr>
              <w:tabs>
                <w:tab w:val="decimal" w:pos="703"/>
              </w:tabs>
              <w:rPr>
                <w:rFonts w:ascii="Verdana" w:hAnsi="Verdana"/>
                <w:sz w:val="22"/>
                <w:szCs w:val="22"/>
              </w:rPr>
            </w:pPr>
            <w:r w:rsidRPr="00BB07DE">
              <w:rPr>
                <w:rFonts w:ascii="Verdana" w:hAnsi="Verdana"/>
                <w:sz w:val="22"/>
                <w:szCs w:val="22"/>
              </w:rPr>
              <w:t>7.8</w:t>
            </w:r>
          </w:p>
        </w:tc>
        <w:tc>
          <w:tcPr>
            <w:tcW w:w="1167" w:type="dxa"/>
          </w:tcPr>
          <w:p w:rsidR="00BB07DE" w:rsidRPr="00BB07DE" w:rsidRDefault="00BB07DE" w:rsidP="00BB07DE">
            <w:pPr>
              <w:tabs>
                <w:tab w:val="decimal" w:pos="703"/>
              </w:tabs>
              <w:rPr>
                <w:rFonts w:ascii="Verdana" w:hAnsi="Verdana"/>
                <w:sz w:val="22"/>
                <w:szCs w:val="22"/>
              </w:rPr>
            </w:pPr>
            <w:r w:rsidRPr="00BB07DE">
              <w:rPr>
                <w:rFonts w:ascii="Verdana" w:hAnsi="Verdana"/>
                <w:sz w:val="22"/>
                <w:szCs w:val="22"/>
              </w:rPr>
              <w:t>11.9</w:t>
            </w:r>
          </w:p>
        </w:tc>
        <w:tc>
          <w:tcPr>
            <w:tcW w:w="1398" w:type="dxa"/>
          </w:tcPr>
          <w:p w:rsidR="00BB07DE" w:rsidRPr="00BB07DE" w:rsidRDefault="00BB07DE" w:rsidP="00BB07DE">
            <w:pPr>
              <w:tabs>
                <w:tab w:val="decimal" w:pos="703"/>
              </w:tabs>
              <w:rPr>
                <w:rFonts w:ascii="Verdana" w:hAnsi="Verdana"/>
                <w:sz w:val="22"/>
                <w:szCs w:val="22"/>
              </w:rPr>
            </w:pPr>
            <w:r w:rsidRPr="00BB07DE">
              <w:rPr>
                <w:rFonts w:ascii="Verdana" w:hAnsi="Verdana"/>
                <w:sz w:val="22"/>
                <w:szCs w:val="22"/>
              </w:rPr>
              <w:t>(4.1)</w:t>
            </w:r>
          </w:p>
        </w:tc>
      </w:tr>
      <w:tr w:rsidR="00BB07DE" w:rsidRPr="009C45F9" w:rsidTr="007E0B54">
        <w:trPr>
          <w:tblHeader/>
          <w:jc w:val="center"/>
        </w:trPr>
        <w:tc>
          <w:tcPr>
            <w:tcW w:w="5225" w:type="dxa"/>
          </w:tcPr>
          <w:p w:rsidR="00BB07DE" w:rsidRPr="00BB07DE" w:rsidRDefault="00BB07DE" w:rsidP="001C2C30">
            <w:pPr>
              <w:rPr>
                <w:rFonts w:ascii="Verdana" w:hAnsi="Verdana"/>
                <w:sz w:val="22"/>
                <w:szCs w:val="22"/>
              </w:rPr>
            </w:pPr>
            <w:r w:rsidRPr="00BB07DE">
              <w:rPr>
                <w:rFonts w:ascii="Verdana" w:hAnsi="Verdana"/>
                <w:sz w:val="22"/>
                <w:szCs w:val="22"/>
              </w:rPr>
              <w:t>NET RESULT</w:t>
            </w:r>
          </w:p>
        </w:tc>
        <w:tc>
          <w:tcPr>
            <w:tcW w:w="1167" w:type="dxa"/>
            <w:shd w:val="clear" w:color="auto" w:fill="CCCCCC"/>
          </w:tcPr>
          <w:p w:rsidR="00BB07DE" w:rsidRPr="00BB07DE" w:rsidRDefault="00BB07DE" w:rsidP="00BB07DE">
            <w:pPr>
              <w:tabs>
                <w:tab w:val="decimal" w:pos="703"/>
              </w:tabs>
              <w:rPr>
                <w:rFonts w:ascii="Verdana" w:hAnsi="Verdana"/>
                <w:sz w:val="22"/>
                <w:szCs w:val="22"/>
              </w:rPr>
            </w:pPr>
            <w:r w:rsidRPr="00BB07DE">
              <w:rPr>
                <w:rFonts w:ascii="Verdana" w:hAnsi="Verdana"/>
                <w:sz w:val="22"/>
                <w:szCs w:val="22"/>
              </w:rPr>
              <w:t>499.5</w:t>
            </w:r>
          </w:p>
        </w:tc>
        <w:tc>
          <w:tcPr>
            <w:tcW w:w="1167" w:type="dxa"/>
          </w:tcPr>
          <w:p w:rsidR="00BB07DE" w:rsidRPr="00BB07DE" w:rsidRDefault="00BB07DE" w:rsidP="00BB07DE">
            <w:pPr>
              <w:tabs>
                <w:tab w:val="decimal" w:pos="703"/>
              </w:tabs>
              <w:rPr>
                <w:rFonts w:ascii="Verdana" w:hAnsi="Verdana"/>
                <w:sz w:val="22"/>
                <w:szCs w:val="22"/>
              </w:rPr>
            </w:pPr>
            <w:r w:rsidRPr="00BB07DE">
              <w:rPr>
                <w:rFonts w:ascii="Verdana" w:hAnsi="Verdana"/>
                <w:sz w:val="22"/>
                <w:szCs w:val="22"/>
              </w:rPr>
              <w:t>224.9</w:t>
            </w:r>
          </w:p>
        </w:tc>
        <w:tc>
          <w:tcPr>
            <w:tcW w:w="1398" w:type="dxa"/>
          </w:tcPr>
          <w:p w:rsidR="00BB07DE" w:rsidRPr="00BB07DE" w:rsidRDefault="00BB07DE" w:rsidP="00BB07DE">
            <w:pPr>
              <w:tabs>
                <w:tab w:val="decimal" w:pos="703"/>
              </w:tabs>
              <w:rPr>
                <w:rFonts w:ascii="Verdana" w:hAnsi="Verdana"/>
                <w:sz w:val="22"/>
                <w:szCs w:val="22"/>
              </w:rPr>
            </w:pPr>
            <w:r w:rsidRPr="00BB07DE">
              <w:rPr>
                <w:rFonts w:ascii="Verdana" w:hAnsi="Verdana"/>
                <w:sz w:val="22"/>
                <w:szCs w:val="22"/>
              </w:rPr>
              <w:t>274.6</w:t>
            </w:r>
          </w:p>
        </w:tc>
      </w:tr>
      <w:tr w:rsidR="00BB07DE" w:rsidRPr="009C45F9" w:rsidTr="007E0B54">
        <w:trPr>
          <w:tblHeader/>
          <w:jc w:val="center"/>
        </w:trPr>
        <w:tc>
          <w:tcPr>
            <w:tcW w:w="5225" w:type="dxa"/>
          </w:tcPr>
          <w:p w:rsidR="00BB07DE" w:rsidRPr="00BB07DE" w:rsidRDefault="00BB07DE" w:rsidP="001C2C30">
            <w:pPr>
              <w:rPr>
                <w:rFonts w:ascii="Verdana" w:hAnsi="Verdana"/>
                <w:b/>
                <w:sz w:val="22"/>
                <w:szCs w:val="22"/>
              </w:rPr>
            </w:pPr>
          </w:p>
        </w:tc>
        <w:tc>
          <w:tcPr>
            <w:tcW w:w="1167" w:type="dxa"/>
            <w:shd w:val="clear" w:color="auto" w:fill="CCCCCC"/>
          </w:tcPr>
          <w:p w:rsidR="00BB07DE" w:rsidRPr="00BB07DE" w:rsidRDefault="00BB07DE" w:rsidP="00BB07DE">
            <w:pPr>
              <w:tabs>
                <w:tab w:val="decimal" w:pos="731"/>
              </w:tabs>
              <w:rPr>
                <w:rFonts w:ascii="Verdana" w:hAnsi="Verdana"/>
                <w:sz w:val="22"/>
                <w:szCs w:val="22"/>
              </w:rPr>
            </w:pPr>
          </w:p>
        </w:tc>
        <w:tc>
          <w:tcPr>
            <w:tcW w:w="1167" w:type="dxa"/>
          </w:tcPr>
          <w:p w:rsidR="00BB07DE" w:rsidRPr="00BB07DE" w:rsidRDefault="00BB07DE" w:rsidP="00BB07DE">
            <w:pPr>
              <w:tabs>
                <w:tab w:val="decimal" w:pos="731"/>
              </w:tabs>
              <w:rPr>
                <w:rFonts w:ascii="Verdana" w:hAnsi="Verdana"/>
                <w:sz w:val="22"/>
                <w:szCs w:val="22"/>
              </w:rPr>
            </w:pPr>
          </w:p>
        </w:tc>
        <w:tc>
          <w:tcPr>
            <w:tcW w:w="1398" w:type="dxa"/>
          </w:tcPr>
          <w:p w:rsidR="00BB07DE" w:rsidRPr="00BB07DE" w:rsidRDefault="00BB07DE" w:rsidP="00BB07DE">
            <w:pPr>
              <w:tabs>
                <w:tab w:val="decimal" w:pos="731"/>
              </w:tabs>
              <w:rPr>
                <w:rFonts w:ascii="Verdana" w:hAnsi="Verdana"/>
                <w:sz w:val="22"/>
                <w:szCs w:val="22"/>
              </w:rPr>
            </w:pPr>
          </w:p>
        </w:tc>
      </w:tr>
      <w:tr w:rsidR="00BB07DE" w:rsidRPr="009C45F9" w:rsidTr="007E0B54">
        <w:trPr>
          <w:tblHeader/>
          <w:jc w:val="center"/>
        </w:trPr>
        <w:tc>
          <w:tcPr>
            <w:tcW w:w="5225" w:type="dxa"/>
          </w:tcPr>
          <w:p w:rsidR="00BB07DE" w:rsidRPr="00BB07DE" w:rsidRDefault="00BB07DE" w:rsidP="001C2C30">
            <w:pPr>
              <w:rPr>
                <w:rFonts w:ascii="Verdana" w:hAnsi="Verdana"/>
                <w:b/>
                <w:sz w:val="22"/>
                <w:szCs w:val="22"/>
              </w:rPr>
            </w:pPr>
            <w:r w:rsidRPr="00BB07DE">
              <w:rPr>
                <w:rFonts w:ascii="Verdana" w:hAnsi="Verdana"/>
                <w:b/>
                <w:sz w:val="22"/>
                <w:szCs w:val="22"/>
              </w:rPr>
              <w:t>Expenses from Transactions</w:t>
            </w:r>
          </w:p>
        </w:tc>
        <w:tc>
          <w:tcPr>
            <w:tcW w:w="1167" w:type="dxa"/>
            <w:shd w:val="clear" w:color="auto" w:fill="CCCCCC"/>
          </w:tcPr>
          <w:p w:rsidR="00BB07DE" w:rsidRPr="00BB07DE" w:rsidRDefault="00BB07DE" w:rsidP="00BB07DE">
            <w:pPr>
              <w:tabs>
                <w:tab w:val="decimal" w:pos="731"/>
              </w:tabs>
              <w:rPr>
                <w:rFonts w:ascii="Verdana" w:hAnsi="Verdana"/>
                <w:sz w:val="22"/>
                <w:szCs w:val="22"/>
              </w:rPr>
            </w:pPr>
          </w:p>
        </w:tc>
        <w:tc>
          <w:tcPr>
            <w:tcW w:w="1167" w:type="dxa"/>
          </w:tcPr>
          <w:p w:rsidR="00BB07DE" w:rsidRPr="00BB07DE" w:rsidRDefault="00BB07DE" w:rsidP="00BB07DE">
            <w:pPr>
              <w:tabs>
                <w:tab w:val="decimal" w:pos="731"/>
              </w:tabs>
              <w:rPr>
                <w:rFonts w:ascii="Verdana" w:hAnsi="Verdana"/>
                <w:sz w:val="22"/>
                <w:szCs w:val="22"/>
              </w:rPr>
            </w:pPr>
          </w:p>
        </w:tc>
        <w:tc>
          <w:tcPr>
            <w:tcW w:w="1398" w:type="dxa"/>
          </w:tcPr>
          <w:p w:rsidR="00BB07DE" w:rsidRPr="00BB07DE" w:rsidRDefault="00BB07DE" w:rsidP="00BB07DE">
            <w:pPr>
              <w:tabs>
                <w:tab w:val="decimal" w:pos="731"/>
              </w:tabs>
              <w:rPr>
                <w:rFonts w:ascii="Verdana" w:hAnsi="Verdana"/>
                <w:sz w:val="22"/>
                <w:szCs w:val="22"/>
              </w:rPr>
            </w:pPr>
          </w:p>
        </w:tc>
      </w:tr>
      <w:tr w:rsidR="00BB07DE" w:rsidRPr="009C45F9" w:rsidTr="007E0B54">
        <w:trPr>
          <w:tblHeader/>
          <w:jc w:val="center"/>
        </w:trPr>
        <w:tc>
          <w:tcPr>
            <w:tcW w:w="5225" w:type="dxa"/>
          </w:tcPr>
          <w:p w:rsidR="00BB07DE" w:rsidRPr="00BB07DE" w:rsidRDefault="00BB07DE" w:rsidP="001C2C30">
            <w:pPr>
              <w:rPr>
                <w:rFonts w:ascii="Verdana" w:hAnsi="Verdana"/>
                <w:sz w:val="22"/>
                <w:szCs w:val="22"/>
              </w:rPr>
            </w:pPr>
            <w:r w:rsidRPr="00BB07DE">
              <w:rPr>
                <w:rFonts w:ascii="Verdana" w:hAnsi="Verdana"/>
                <w:sz w:val="22"/>
                <w:szCs w:val="22"/>
              </w:rPr>
              <w:t>Network and Asset Planning</w:t>
            </w:r>
          </w:p>
        </w:tc>
        <w:tc>
          <w:tcPr>
            <w:tcW w:w="1167" w:type="dxa"/>
            <w:shd w:val="clear" w:color="auto" w:fill="CCCCCC"/>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1,232.3</w:t>
            </w:r>
          </w:p>
        </w:tc>
        <w:tc>
          <w:tcPr>
            <w:tcW w:w="1167"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1,161.5</w:t>
            </w:r>
          </w:p>
        </w:tc>
        <w:tc>
          <w:tcPr>
            <w:tcW w:w="1398"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70.8</w:t>
            </w:r>
          </w:p>
        </w:tc>
      </w:tr>
      <w:tr w:rsidR="00BB07DE" w:rsidRPr="009C45F9" w:rsidTr="007E0B54">
        <w:trPr>
          <w:tblHeader/>
          <w:jc w:val="center"/>
        </w:trPr>
        <w:tc>
          <w:tcPr>
            <w:tcW w:w="5225" w:type="dxa"/>
          </w:tcPr>
          <w:p w:rsidR="00BB07DE" w:rsidRPr="00BB07DE" w:rsidRDefault="00BB07DE" w:rsidP="001C2C30">
            <w:pPr>
              <w:rPr>
                <w:rFonts w:ascii="Verdana" w:hAnsi="Verdana"/>
                <w:sz w:val="22"/>
                <w:szCs w:val="22"/>
              </w:rPr>
            </w:pPr>
            <w:r w:rsidRPr="00BB07DE">
              <w:rPr>
                <w:rFonts w:ascii="Verdana" w:hAnsi="Verdana"/>
                <w:sz w:val="22"/>
                <w:szCs w:val="22"/>
              </w:rPr>
              <w:t>Road Safety</w:t>
            </w:r>
          </w:p>
        </w:tc>
        <w:tc>
          <w:tcPr>
            <w:tcW w:w="1167" w:type="dxa"/>
            <w:shd w:val="clear" w:color="auto" w:fill="CCCCCC"/>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100.4</w:t>
            </w:r>
          </w:p>
        </w:tc>
        <w:tc>
          <w:tcPr>
            <w:tcW w:w="1167"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121.3</w:t>
            </w:r>
          </w:p>
        </w:tc>
        <w:tc>
          <w:tcPr>
            <w:tcW w:w="1398"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(20.9)</w:t>
            </w:r>
          </w:p>
        </w:tc>
      </w:tr>
      <w:tr w:rsidR="00BB07DE" w:rsidRPr="009C45F9" w:rsidTr="007E0B54">
        <w:trPr>
          <w:tblHeader/>
          <w:jc w:val="center"/>
        </w:trPr>
        <w:tc>
          <w:tcPr>
            <w:tcW w:w="5225" w:type="dxa"/>
          </w:tcPr>
          <w:p w:rsidR="00BB07DE" w:rsidRPr="00BB07DE" w:rsidRDefault="00BB07DE" w:rsidP="001C2C30">
            <w:pPr>
              <w:rPr>
                <w:rFonts w:ascii="Verdana" w:hAnsi="Verdana"/>
                <w:sz w:val="22"/>
                <w:szCs w:val="22"/>
              </w:rPr>
            </w:pPr>
            <w:r w:rsidRPr="00BB07DE">
              <w:rPr>
                <w:rFonts w:ascii="Verdana" w:hAnsi="Verdana"/>
                <w:sz w:val="22"/>
                <w:szCs w:val="22"/>
              </w:rPr>
              <w:t>Registration and Licensing</w:t>
            </w:r>
          </w:p>
        </w:tc>
        <w:tc>
          <w:tcPr>
            <w:tcW w:w="1167" w:type="dxa"/>
            <w:shd w:val="clear" w:color="auto" w:fill="CCCCCC"/>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146.5</w:t>
            </w:r>
          </w:p>
        </w:tc>
        <w:tc>
          <w:tcPr>
            <w:tcW w:w="1167"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144.8</w:t>
            </w:r>
          </w:p>
        </w:tc>
        <w:tc>
          <w:tcPr>
            <w:tcW w:w="1398"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1.7</w:t>
            </w:r>
          </w:p>
        </w:tc>
      </w:tr>
      <w:tr w:rsidR="00BB07DE" w:rsidRPr="009C45F9" w:rsidTr="007E0B54">
        <w:trPr>
          <w:tblHeader/>
          <w:jc w:val="center"/>
        </w:trPr>
        <w:tc>
          <w:tcPr>
            <w:tcW w:w="5225" w:type="dxa"/>
          </w:tcPr>
          <w:p w:rsidR="00BB07DE" w:rsidRPr="00BB07DE" w:rsidRDefault="00BB07DE" w:rsidP="001C2C30">
            <w:pPr>
              <w:rPr>
                <w:rFonts w:ascii="Verdana" w:hAnsi="Verdana"/>
                <w:sz w:val="22"/>
                <w:szCs w:val="22"/>
              </w:rPr>
            </w:pPr>
            <w:r w:rsidRPr="00BB07DE">
              <w:rPr>
                <w:rFonts w:ascii="Verdana" w:hAnsi="Verdana"/>
                <w:sz w:val="22"/>
                <w:szCs w:val="22"/>
              </w:rPr>
              <w:t>Other Services</w:t>
            </w:r>
          </w:p>
        </w:tc>
        <w:tc>
          <w:tcPr>
            <w:tcW w:w="1167" w:type="dxa"/>
            <w:shd w:val="clear" w:color="auto" w:fill="CCCCCC"/>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42.4</w:t>
            </w:r>
          </w:p>
        </w:tc>
        <w:tc>
          <w:tcPr>
            <w:tcW w:w="1167"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68.6</w:t>
            </w:r>
          </w:p>
        </w:tc>
        <w:tc>
          <w:tcPr>
            <w:tcW w:w="1398"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(26.2)</w:t>
            </w:r>
          </w:p>
        </w:tc>
      </w:tr>
      <w:tr w:rsidR="00BB07DE" w:rsidRPr="009C45F9" w:rsidTr="007E0B54">
        <w:trPr>
          <w:tblHeader/>
          <w:jc w:val="center"/>
        </w:trPr>
        <w:tc>
          <w:tcPr>
            <w:tcW w:w="5225" w:type="dxa"/>
          </w:tcPr>
          <w:p w:rsidR="00BB07DE" w:rsidRPr="00BB07DE" w:rsidRDefault="00BB07DE" w:rsidP="001C2C30">
            <w:pPr>
              <w:rPr>
                <w:rFonts w:ascii="Verdana" w:hAnsi="Verdana"/>
                <w:sz w:val="22"/>
                <w:szCs w:val="22"/>
              </w:rPr>
            </w:pPr>
          </w:p>
        </w:tc>
        <w:tc>
          <w:tcPr>
            <w:tcW w:w="1167" w:type="dxa"/>
            <w:shd w:val="clear" w:color="auto" w:fill="CCCCCC"/>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1,521.6</w:t>
            </w:r>
          </w:p>
        </w:tc>
        <w:tc>
          <w:tcPr>
            <w:tcW w:w="1167"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1,496.2</w:t>
            </w:r>
          </w:p>
        </w:tc>
        <w:tc>
          <w:tcPr>
            <w:tcW w:w="1398"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25.4</w:t>
            </w:r>
          </w:p>
        </w:tc>
      </w:tr>
      <w:tr w:rsidR="00BB07DE" w:rsidRPr="009C45F9" w:rsidTr="007E0B54">
        <w:trPr>
          <w:tblHeader/>
          <w:jc w:val="center"/>
        </w:trPr>
        <w:tc>
          <w:tcPr>
            <w:tcW w:w="5225" w:type="dxa"/>
          </w:tcPr>
          <w:p w:rsidR="00BB07DE" w:rsidRPr="00BB07DE" w:rsidRDefault="00BB07DE" w:rsidP="001C2C30">
            <w:pPr>
              <w:rPr>
                <w:rFonts w:ascii="Verdana" w:hAnsi="Verdana"/>
                <w:sz w:val="22"/>
                <w:szCs w:val="22"/>
              </w:rPr>
            </w:pPr>
          </w:p>
        </w:tc>
        <w:tc>
          <w:tcPr>
            <w:tcW w:w="1167" w:type="dxa"/>
            <w:shd w:val="clear" w:color="auto" w:fill="CCCCCC"/>
          </w:tcPr>
          <w:p w:rsidR="00BB07DE" w:rsidRPr="00BB07DE" w:rsidRDefault="00BB07DE" w:rsidP="00BB07DE">
            <w:pPr>
              <w:tabs>
                <w:tab w:val="decimal" w:pos="731"/>
              </w:tabs>
              <w:rPr>
                <w:rFonts w:ascii="Verdana" w:hAnsi="Verdana"/>
                <w:sz w:val="22"/>
                <w:szCs w:val="22"/>
              </w:rPr>
            </w:pPr>
          </w:p>
        </w:tc>
        <w:tc>
          <w:tcPr>
            <w:tcW w:w="1167" w:type="dxa"/>
          </w:tcPr>
          <w:p w:rsidR="00BB07DE" w:rsidRPr="00BB07DE" w:rsidRDefault="00BB07DE" w:rsidP="00BB07DE">
            <w:pPr>
              <w:tabs>
                <w:tab w:val="decimal" w:pos="731"/>
              </w:tabs>
              <w:rPr>
                <w:rFonts w:ascii="Verdana" w:hAnsi="Verdana"/>
                <w:sz w:val="22"/>
                <w:szCs w:val="22"/>
              </w:rPr>
            </w:pPr>
          </w:p>
        </w:tc>
        <w:tc>
          <w:tcPr>
            <w:tcW w:w="1398" w:type="dxa"/>
          </w:tcPr>
          <w:p w:rsidR="00BB07DE" w:rsidRPr="00BB07DE" w:rsidRDefault="00BB07DE" w:rsidP="00BB07DE">
            <w:pPr>
              <w:tabs>
                <w:tab w:val="decimal" w:pos="731"/>
              </w:tabs>
              <w:rPr>
                <w:rFonts w:ascii="Verdana" w:hAnsi="Verdana"/>
                <w:sz w:val="22"/>
                <w:szCs w:val="22"/>
              </w:rPr>
            </w:pPr>
          </w:p>
        </w:tc>
      </w:tr>
      <w:tr w:rsidR="00BB07DE" w:rsidRPr="009C45F9" w:rsidTr="007E0B54">
        <w:trPr>
          <w:tblHeader/>
          <w:jc w:val="center"/>
        </w:trPr>
        <w:tc>
          <w:tcPr>
            <w:tcW w:w="5225" w:type="dxa"/>
          </w:tcPr>
          <w:p w:rsidR="00BB07DE" w:rsidRPr="00BB07DE" w:rsidRDefault="00BB07DE" w:rsidP="001C2C30">
            <w:pPr>
              <w:rPr>
                <w:rFonts w:ascii="Verdana" w:hAnsi="Verdana"/>
                <w:b/>
                <w:sz w:val="22"/>
                <w:szCs w:val="22"/>
              </w:rPr>
            </w:pPr>
            <w:r w:rsidRPr="00BB07DE">
              <w:rPr>
                <w:rFonts w:ascii="Verdana" w:hAnsi="Verdana"/>
                <w:b/>
                <w:sz w:val="22"/>
                <w:szCs w:val="22"/>
              </w:rPr>
              <w:t xml:space="preserve">CAPITAL WORKS EXPENDITURE </w:t>
            </w:r>
          </w:p>
        </w:tc>
        <w:tc>
          <w:tcPr>
            <w:tcW w:w="1167" w:type="dxa"/>
            <w:shd w:val="clear" w:color="auto" w:fill="CCCCCC"/>
          </w:tcPr>
          <w:p w:rsidR="00BB07DE" w:rsidRPr="00BB07DE" w:rsidRDefault="00BB07DE" w:rsidP="00BB07DE">
            <w:pPr>
              <w:tabs>
                <w:tab w:val="decimal" w:pos="731"/>
              </w:tabs>
              <w:rPr>
                <w:rFonts w:ascii="Verdana" w:hAnsi="Verdana"/>
                <w:sz w:val="22"/>
                <w:szCs w:val="22"/>
              </w:rPr>
            </w:pPr>
          </w:p>
        </w:tc>
        <w:tc>
          <w:tcPr>
            <w:tcW w:w="1167" w:type="dxa"/>
          </w:tcPr>
          <w:p w:rsidR="00BB07DE" w:rsidRPr="00BB07DE" w:rsidRDefault="00BB07DE" w:rsidP="00BB07DE">
            <w:pPr>
              <w:tabs>
                <w:tab w:val="decimal" w:pos="731"/>
              </w:tabs>
              <w:rPr>
                <w:rFonts w:ascii="Verdana" w:hAnsi="Verdana"/>
                <w:sz w:val="22"/>
                <w:szCs w:val="22"/>
              </w:rPr>
            </w:pPr>
          </w:p>
        </w:tc>
        <w:tc>
          <w:tcPr>
            <w:tcW w:w="1398" w:type="dxa"/>
          </w:tcPr>
          <w:p w:rsidR="00BB07DE" w:rsidRPr="00BB07DE" w:rsidRDefault="00BB07DE" w:rsidP="00BB07DE">
            <w:pPr>
              <w:tabs>
                <w:tab w:val="decimal" w:pos="731"/>
              </w:tabs>
              <w:rPr>
                <w:rFonts w:ascii="Verdana" w:hAnsi="Verdana"/>
                <w:sz w:val="22"/>
                <w:szCs w:val="22"/>
              </w:rPr>
            </w:pPr>
          </w:p>
        </w:tc>
      </w:tr>
      <w:tr w:rsidR="00BB07DE" w:rsidRPr="009C45F9" w:rsidTr="007E0B54">
        <w:trPr>
          <w:tblHeader/>
          <w:jc w:val="center"/>
        </w:trPr>
        <w:tc>
          <w:tcPr>
            <w:tcW w:w="5225" w:type="dxa"/>
          </w:tcPr>
          <w:p w:rsidR="00BB07DE" w:rsidRPr="00BB07DE" w:rsidRDefault="00BB07DE" w:rsidP="001C2C30">
            <w:pPr>
              <w:rPr>
                <w:rFonts w:ascii="Verdana" w:hAnsi="Verdana"/>
                <w:b/>
                <w:sz w:val="22"/>
                <w:szCs w:val="22"/>
              </w:rPr>
            </w:pPr>
            <w:r w:rsidRPr="00BB07DE">
              <w:rPr>
                <w:rFonts w:ascii="Verdana" w:hAnsi="Verdana"/>
                <w:sz w:val="22"/>
                <w:szCs w:val="22"/>
              </w:rPr>
              <w:t>Infrastructure assets</w:t>
            </w:r>
          </w:p>
        </w:tc>
        <w:tc>
          <w:tcPr>
            <w:tcW w:w="1167" w:type="dxa"/>
            <w:shd w:val="clear" w:color="auto" w:fill="CCCCCC"/>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873.6</w:t>
            </w:r>
          </w:p>
        </w:tc>
        <w:tc>
          <w:tcPr>
            <w:tcW w:w="1167"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976.8</w:t>
            </w:r>
          </w:p>
        </w:tc>
        <w:tc>
          <w:tcPr>
            <w:tcW w:w="1398"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(103.2)</w:t>
            </w:r>
          </w:p>
        </w:tc>
      </w:tr>
      <w:tr w:rsidR="00BB07DE" w:rsidRPr="009C45F9" w:rsidTr="007E0B54">
        <w:trPr>
          <w:tblHeader/>
          <w:jc w:val="center"/>
        </w:trPr>
        <w:tc>
          <w:tcPr>
            <w:tcW w:w="5225" w:type="dxa"/>
          </w:tcPr>
          <w:p w:rsidR="00BB07DE" w:rsidRPr="00BB07DE" w:rsidRDefault="00BB07DE" w:rsidP="001C2C30">
            <w:pPr>
              <w:rPr>
                <w:rFonts w:ascii="Verdana" w:hAnsi="Verdana"/>
                <w:sz w:val="22"/>
                <w:szCs w:val="22"/>
              </w:rPr>
            </w:pPr>
            <w:r w:rsidRPr="00BB07DE">
              <w:rPr>
                <w:rFonts w:ascii="Verdana" w:hAnsi="Verdana"/>
                <w:sz w:val="22"/>
                <w:szCs w:val="22"/>
              </w:rPr>
              <w:t>Other assets</w:t>
            </w:r>
          </w:p>
        </w:tc>
        <w:tc>
          <w:tcPr>
            <w:tcW w:w="1167" w:type="dxa"/>
            <w:shd w:val="clear" w:color="auto" w:fill="CCCCCC"/>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44.9</w:t>
            </w:r>
          </w:p>
        </w:tc>
        <w:tc>
          <w:tcPr>
            <w:tcW w:w="1167"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68.7</w:t>
            </w:r>
          </w:p>
        </w:tc>
        <w:tc>
          <w:tcPr>
            <w:tcW w:w="1398"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(23.8)</w:t>
            </w:r>
          </w:p>
        </w:tc>
      </w:tr>
      <w:tr w:rsidR="00BB07DE" w:rsidRPr="009C45F9" w:rsidTr="007E0B54">
        <w:trPr>
          <w:tblHeader/>
          <w:jc w:val="center"/>
        </w:trPr>
        <w:tc>
          <w:tcPr>
            <w:tcW w:w="5225" w:type="dxa"/>
          </w:tcPr>
          <w:p w:rsidR="00BB07DE" w:rsidRPr="00BB07DE" w:rsidRDefault="00BB07DE" w:rsidP="001C2C30">
            <w:pPr>
              <w:rPr>
                <w:rFonts w:ascii="Verdana" w:hAnsi="Verdana"/>
                <w:sz w:val="22"/>
                <w:szCs w:val="22"/>
              </w:rPr>
            </w:pPr>
          </w:p>
        </w:tc>
        <w:tc>
          <w:tcPr>
            <w:tcW w:w="1167" w:type="dxa"/>
            <w:shd w:val="clear" w:color="auto" w:fill="CCCCCC"/>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918.5</w:t>
            </w:r>
          </w:p>
        </w:tc>
        <w:tc>
          <w:tcPr>
            <w:tcW w:w="1167"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1,045.5</w:t>
            </w:r>
          </w:p>
        </w:tc>
        <w:tc>
          <w:tcPr>
            <w:tcW w:w="1398"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(127.0)</w:t>
            </w:r>
          </w:p>
        </w:tc>
      </w:tr>
      <w:tr w:rsidR="00BB07DE" w:rsidRPr="009C45F9" w:rsidTr="007E0B54">
        <w:trPr>
          <w:tblHeader/>
          <w:jc w:val="center"/>
        </w:trPr>
        <w:tc>
          <w:tcPr>
            <w:tcW w:w="5225" w:type="dxa"/>
          </w:tcPr>
          <w:p w:rsidR="00BB07DE" w:rsidRPr="00BB07DE" w:rsidRDefault="00BB07DE" w:rsidP="001C2C30">
            <w:pPr>
              <w:rPr>
                <w:rFonts w:ascii="Verdana" w:hAnsi="Verdana"/>
                <w:b/>
                <w:sz w:val="22"/>
                <w:szCs w:val="22"/>
              </w:rPr>
            </w:pPr>
          </w:p>
        </w:tc>
        <w:tc>
          <w:tcPr>
            <w:tcW w:w="1167" w:type="dxa"/>
            <w:shd w:val="clear" w:color="auto" w:fill="CCCCCC"/>
          </w:tcPr>
          <w:p w:rsidR="00BB07DE" w:rsidRPr="00BB07DE" w:rsidRDefault="00BB07DE" w:rsidP="00BB07DE">
            <w:pPr>
              <w:tabs>
                <w:tab w:val="decimal" w:pos="731"/>
              </w:tabs>
              <w:rPr>
                <w:rFonts w:ascii="Verdana" w:hAnsi="Verdana"/>
                <w:sz w:val="22"/>
                <w:szCs w:val="22"/>
              </w:rPr>
            </w:pPr>
          </w:p>
        </w:tc>
        <w:tc>
          <w:tcPr>
            <w:tcW w:w="1167" w:type="dxa"/>
          </w:tcPr>
          <w:p w:rsidR="00BB07DE" w:rsidRPr="00BB07DE" w:rsidRDefault="00BB07DE" w:rsidP="00BB07DE">
            <w:pPr>
              <w:tabs>
                <w:tab w:val="decimal" w:pos="731"/>
              </w:tabs>
              <w:rPr>
                <w:rFonts w:ascii="Verdana" w:hAnsi="Verdana"/>
                <w:sz w:val="22"/>
                <w:szCs w:val="22"/>
              </w:rPr>
            </w:pPr>
          </w:p>
        </w:tc>
        <w:tc>
          <w:tcPr>
            <w:tcW w:w="1398" w:type="dxa"/>
          </w:tcPr>
          <w:p w:rsidR="00BB07DE" w:rsidRPr="00BB07DE" w:rsidRDefault="00BB07DE" w:rsidP="00BB07DE">
            <w:pPr>
              <w:tabs>
                <w:tab w:val="decimal" w:pos="731"/>
              </w:tabs>
              <w:rPr>
                <w:rFonts w:ascii="Verdana" w:hAnsi="Verdana"/>
                <w:sz w:val="22"/>
                <w:szCs w:val="22"/>
              </w:rPr>
            </w:pPr>
          </w:p>
        </w:tc>
      </w:tr>
      <w:tr w:rsidR="00BB07DE" w:rsidRPr="009C45F9" w:rsidTr="007E0B54">
        <w:trPr>
          <w:tblHeader/>
          <w:jc w:val="center"/>
        </w:trPr>
        <w:tc>
          <w:tcPr>
            <w:tcW w:w="5225" w:type="dxa"/>
          </w:tcPr>
          <w:p w:rsidR="00BB07DE" w:rsidRPr="00BB07DE" w:rsidRDefault="00BB07DE" w:rsidP="001C2C30">
            <w:pPr>
              <w:rPr>
                <w:rFonts w:ascii="Verdana" w:hAnsi="Verdana"/>
                <w:b/>
                <w:sz w:val="22"/>
                <w:szCs w:val="22"/>
              </w:rPr>
            </w:pPr>
            <w:r w:rsidRPr="00BB07DE">
              <w:rPr>
                <w:rFonts w:ascii="Verdana" w:hAnsi="Verdana"/>
                <w:b/>
                <w:sz w:val="22"/>
                <w:szCs w:val="22"/>
              </w:rPr>
              <w:t>TOTAL EXPENDITURE</w:t>
            </w:r>
          </w:p>
        </w:tc>
        <w:tc>
          <w:tcPr>
            <w:tcW w:w="1167" w:type="dxa"/>
            <w:shd w:val="clear" w:color="auto" w:fill="CCCCCC"/>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2,440.1</w:t>
            </w:r>
          </w:p>
        </w:tc>
        <w:tc>
          <w:tcPr>
            <w:tcW w:w="1167"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2,541.7</w:t>
            </w:r>
          </w:p>
        </w:tc>
        <w:tc>
          <w:tcPr>
            <w:tcW w:w="1398"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(101.6)</w:t>
            </w:r>
          </w:p>
        </w:tc>
      </w:tr>
      <w:tr w:rsidR="00BB07DE" w:rsidRPr="009C45F9" w:rsidTr="007E0B54">
        <w:trPr>
          <w:tblHeader/>
          <w:jc w:val="center"/>
        </w:trPr>
        <w:tc>
          <w:tcPr>
            <w:tcW w:w="5225" w:type="dxa"/>
          </w:tcPr>
          <w:p w:rsidR="00BB07DE" w:rsidRPr="00BB07DE" w:rsidRDefault="00BB07DE" w:rsidP="001C2C30">
            <w:pPr>
              <w:rPr>
                <w:rFonts w:ascii="Verdana" w:hAnsi="Verdana"/>
                <w:b/>
                <w:sz w:val="22"/>
                <w:szCs w:val="22"/>
              </w:rPr>
            </w:pPr>
          </w:p>
        </w:tc>
        <w:tc>
          <w:tcPr>
            <w:tcW w:w="1167" w:type="dxa"/>
            <w:shd w:val="clear" w:color="auto" w:fill="CCCCCC"/>
          </w:tcPr>
          <w:p w:rsidR="00BB07DE" w:rsidRPr="00BB07DE" w:rsidRDefault="00BB07DE" w:rsidP="00BB07DE">
            <w:pPr>
              <w:tabs>
                <w:tab w:val="decimal" w:pos="731"/>
              </w:tabs>
              <w:rPr>
                <w:rFonts w:ascii="Verdana" w:hAnsi="Verdana"/>
                <w:sz w:val="22"/>
                <w:szCs w:val="22"/>
              </w:rPr>
            </w:pPr>
          </w:p>
        </w:tc>
        <w:tc>
          <w:tcPr>
            <w:tcW w:w="1167" w:type="dxa"/>
          </w:tcPr>
          <w:p w:rsidR="00BB07DE" w:rsidRPr="00BB07DE" w:rsidRDefault="00BB07DE" w:rsidP="00BB07DE">
            <w:pPr>
              <w:tabs>
                <w:tab w:val="decimal" w:pos="731"/>
              </w:tabs>
              <w:rPr>
                <w:rFonts w:ascii="Verdana" w:hAnsi="Verdana"/>
                <w:sz w:val="22"/>
                <w:szCs w:val="22"/>
              </w:rPr>
            </w:pPr>
          </w:p>
        </w:tc>
        <w:tc>
          <w:tcPr>
            <w:tcW w:w="1398" w:type="dxa"/>
          </w:tcPr>
          <w:p w:rsidR="00BB07DE" w:rsidRPr="00BB07DE" w:rsidRDefault="00BB07DE" w:rsidP="00BB07DE">
            <w:pPr>
              <w:tabs>
                <w:tab w:val="decimal" w:pos="731"/>
              </w:tabs>
              <w:rPr>
                <w:rFonts w:ascii="Verdana" w:hAnsi="Verdana"/>
                <w:sz w:val="22"/>
                <w:szCs w:val="22"/>
              </w:rPr>
            </w:pPr>
          </w:p>
        </w:tc>
      </w:tr>
      <w:tr w:rsidR="00BB07DE" w:rsidRPr="009C45F9" w:rsidTr="007E0B54">
        <w:trPr>
          <w:tblHeader/>
          <w:jc w:val="center"/>
        </w:trPr>
        <w:tc>
          <w:tcPr>
            <w:tcW w:w="5225" w:type="dxa"/>
          </w:tcPr>
          <w:p w:rsidR="00BB07DE" w:rsidRPr="00BB07DE" w:rsidRDefault="00BB07DE" w:rsidP="001C2C30">
            <w:pPr>
              <w:rPr>
                <w:rFonts w:ascii="Verdana" w:hAnsi="Verdana"/>
                <w:b/>
                <w:sz w:val="22"/>
                <w:szCs w:val="22"/>
              </w:rPr>
            </w:pPr>
            <w:r w:rsidRPr="00BB07DE">
              <w:rPr>
                <w:rFonts w:ascii="Verdana" w:hAnsi="Verdana"/>
                <w:b/>
                <w:sz w:val="22"/>
                <w:szCs w:val="22"/>
              </w:rPr>
              <w:t>INCOME COLLECTED ON BEHALF OF THE VICTORIAN GOVERNMENT AND OTHER GOVERNMENT AGENCIES</w:t>
            </w:r>
          </w:p>
        </w:tc>
        <w:tc>
          <w:tcPr>
            <w:tcW w:w="1167" w:type="dxa"/>
            <w:shd w:val="clear" w:color="auto" w:fill="CCCCCC"/>
          </w:tcPr>
          <w:p w:rsidR="00BB07DE" w:rsidRPr="00BB07DE" w:rsidRDefault="00BB07DE" w:rsidP="00BB07DE">
            <w:pPr>
              <w:tabs>
                <w:tab w:val="decimal" w:pos="731"/>
              </w:tabs>
              <w:rPr>
                <w:rFonts w:ascii="Verdana" w:hAnsi="Verdana"/>
                <w:sz w:val="22"/>
                <w:szCs w:val="22"/>
              </w:rPr>
            </w:pPr>
          </w:p>
          <w:p w:rsidR="00BB07DE" w:rsidRPr="00BB07DE" w:rsidRDefault="00BB07DE" w:rsidP="00BB07DE">
            <w:pPr>
              <w:tabs>
                <w:tab w:val="decimal" w:pos="731"/>
              </w:tabs>
              <w:rPr>
                <w:rFonts w:ascii="Verdana" w:hAnsi="Verdana"/>
                <w:sz w:val="22"/>
                <w:szCs w:val="22"/>
              </w:rPr>
            </w:pPr>
          </w:p>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3,458.1</w:t>
            </w:r>
          </w:p>
        </w:tc>
        <w:tc>
          <w:tcPr>
            <w:tcW w:w="1167"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br/>
            </w:r>
            <w:r w:rsidRPr="00BB07DE">
              <w:rPr>
                <w:rFonts w:ascii="Verdana" w:hAnsi="Verdana"/>
                <w:sz w:val="22"/>
                <w:szCs w:val="22"/>
              </w:rPr>
              <w:br/>
              <w:t>3,283.3</w:t>
            </w:r>
          </w:p>
        </w:tc>
        <w:tc>
          <w:tcPr>
            <w:tcW w:w="1398" w:type="dxa"/>
          </w:tcPr>
          <w:p w:rsidR="00BB07DE" w:rsidRPr="00BB07DE" w:rsidRDefault="00BB07DE" w:rsidP="00BB07DE">
            <w:pPr>
              <w:tabs>
                <w:tab w:val="decimal" w:pos="731"/>
              </w:tabs>
              <w:rPr>
                <w:rFonts w:ascii="Verdana" w:hAnsi="Verdana"/>
                <w:sz w:val="22"/>
                <w:szCs w:val="22"/>
              </w:rPr>
            </w:pPr>
          </w:p>
          <w:p w:rsidR="00BB07DE" w:rsidRPr="00BB07DE" w:rsidRDefault="00BB07DE" w:rsidP="00BB07DE">
            <w:pPr>
              <w:tabs>
                <w:tab w:val="decimal" w:pos="731"/>
              </w:tabs>
              <w:rPr>
                <w:rFonts w:ascii="Verdana" w:hAnsi="Verdana"/>
                <w:sz w:val="22"/>
                <w:szCs w:val="22"/>
              </w:rPr>
            </w:pPr>
          </w:p>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174.8</w:t>
            </w:r>
          </w:p>
        </w:tc>
      </w:tr>
      <w:tr w:rsidR="00BB07DE" w:rsidRPr="009C45F9" w:rsidTr="007E0B54">
        <w:trPr>
          <w:tblHeader/>
          <w:jc w:val="center"/>
        </w:trPr>
        <w:tc>
          <w:tcPr>
            <w:tcW w:w="5225" w:type="dxa"/>
          </w:tcPr>
          <w:p w:rsidR="00BB07DE" w:rsidRPr="00BB07DE" w:rsidRDefault="00BB07DE" w:rsidP="001C2C30">
            <w:pPr>
              <w:rPr>
                <w:rFonts w:ascii="Verdana" w:hAnsi="Verdana"/>
                <w:b/>
                <w:sz w:val="22"/>
                <w:szCs w:val="22"/>
              </w:rPr>
            </w:pPr>
          </w:p>
        </w:tc>
        <w:tc>
          <w:tcPr>
            <w:tcW w:w="1167" w:type="dxa"/>
            <w:shd w:val="clear" w:color="auto" w:fill="CCCCCC"/>
          </w:tcPr>
          <w:p w:rsidR="00BB07DE" w:rsidRPr="00BB07DE" w:rsidRDefault="00BB07DE" w:rsidP="00BB07DE">
            <w:pPr>
              <w:tabs>
                <w:tab w:val="decimal" w:pos="731"/>
              </w:tabs>
              <w:rPr>
                <w:rFonts w:ascii="Verdana" w:hAnsi="Verdana"/>
                <w:sz w:val="22"/>
                <w:szCs w:val="22"/>
              </w:rPr>
            </w:pPr>
          </w:p>
        </w:tc>
        <w:tc>
          <w:tcPr>
            <w:tcW w:w="1167" w:type="dxa"/>
          </w:tcPr>
          <w:p w:rsidR="00BB07DE" w:rsidRPr="00BB07DE" w:rsidRDefault="00BB07DE" w:rsidP="00BB07DE">
            <w:pPr>
              <w:tabs>
                <w:tab w:val="decimal" w:pos="731"/>
              </w:tabs>
              <w:rPr>
                <w:rFonts w:ascii="Verdana" w:hAnsi="Verdana"/>
                <w:sz w:val="22"/>
                <w:szCs w:val="22"/>
              </w:rPr>
            </w:pPr>
          </w:p>
        </w:tc>
        <w:tc>
          <w:tcPr>
            <w:tcW w:w="1398" w:type="dxa"/>
          </w:tcPr>
          <w:p w:rsidR="00BB07DE" w:rsidRPr="00BB07DE" w:rsidRDefault="00BB07DE" w:rsidP="00BB07DE">
            <w:pPr>
              <w:tabs>
                <w:tab w:val="decimal" w:pos="731"/>
              </w:tabs>
              <w:rPr>
                <w:rFonts w:ascii="Verdana" w:hAnsi="Verdana"/>
                <w:sz w:val="22"/>
                <w:szCs w:val="22"/>
              </w:rPr>
            </w:pPr>
          </w:p>
        </w:tc>
      </w:tr>
      <w:tr w:rsidR="00BB07DE" w:rsidRPr="009C45F9" w:rsidTr="007E0B54">
        <w:trPr>
          <w:tblHeader/>
          <w:jc w:val="center"/>
        </w:trPr>
        <w:tc>
          <w:tcPr>
            <w:tcW w:w="5225" w:type="dxa"/>
          </w:tcPr>
          <w:p w:rsidR="00BB07DE" w:rsidRPr="00BB07DE" w:rsidRDefault="00BB07DE" w:rsidP="001C2C30">
            <w:pPr>
              <w:rPr>
                <w:rFonts w:ascii="Verdana" w:hAnsi="Verdana"/>
                <w:b/>
                <w:sz w:val="22"/>
                <w:szCs w:val="22"/>
              </w:rPr>
            </w:pPr>
            <w:r w:rsidRPr="00BB07DE">
              <w:rPr>
                <w:rFonts w:ascii="Verdana" w:hAnsi="Verdana"/>
                <w:b/>
                <w:sz w:val="22"/>
                <w:szCs w:val="22"/>
              </w:rPr>
              <w:t>INCOME ADMINISTERED ON BEHALF OF THE VICTORIAN GOVERNMENT</w:t>
            </w:r>
          </w:p>
        </w:tc>
        <w:tc>
          <w:tcPr>
            <w:tcW w:w="1167" w:type="dxa"/>
            <w:shd w:val="clear" w:color="auto" w:fill="CCCCCC"/>
          </w:tcPr>
          <w:p w:rsidR="00BB07DE" w:rsidRPr="00BB07DE" w:rsidRDefault="00BB07DE" w:rsidP="00BB07DE">
            <w:pPr>
              <w:tabs>
                <w:tab w:val="decimal" w:pos="731"/>
              </w:tabs>
              <w:rPr>
                <w:rFonts w:ascii="Verdana" w:hAnsi="Verdana"/>
                <w:sz w:val="22"/>
                <w:szCs w:val="22"/>
              </w:rPr>
            </w:pPr>
          </w:p>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27.9</w:t>
            </w:r>
          </w:p>
        </w:tc>
        <w:tc>
          <w:tcPr>
            <w:tcW w:w="1167"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br/>
              <w:t>27.4</w:t>
            </w:r>
          </w:p>
        </w:tc>
        <w:tc>
          <w:tcPr>
            <w:tcW w:w="1398" w:type="dxa"/>
          </w:tcPr>
          <w:p w:rsidR="00BB07DE" w:rsidRPr="00BB07DE" w:rsidRDefault="00BB07DE" w:rsidP="00BB07DE">
            <w:pPr>
              <w:tabs>
                <w:tab w:val="decimal" w:pos="731"/>
              </w:tabs>
              <w:rPr>
                <w:rFonts w:ascii="Verdana" w:hAnsi="Verdana"/>
                <w:sz w:val="22"/>
                <w:szCs w:val="22"/>
              </w:rPr>
            </w:pPr>
          </w:p>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0.5</w:t>
            </w:r>
          </w:p>
        </w:tc>
      </w:tr>
      <w:tr w:rsidR="00BB07DE" w:rsidRPr="009C45F9" w:rsidTr="007E0B54">
        <w:trPr>
          <w:tblHeader/>
          <w:jc w:val="center"/>
        </w:trPr>
        <w:tc>
          <w:tcPr>
            <w:tcW w:w="5225" w:type="dxa"/>
          </w:tcPr>
          <w:p w:rsidR="00BB07DE" w:rsidRPr="00BB07DE" w:rsidRDefault="00BB07DE" w:rsidP="001C2C30">
            <w:pPr>
              <w:rPr>
                <w:rFonts w:ascii="Verdana" w:hAnsi="Verdana"/>
                <w:b/>
                <w:sz w:val="22"/>
                <w:szCs w:val="22"/>
              </w:rPr>
            </w:pPr>
          </w:p>
        </w:tc>
        <w:tc>
          <w:tcPr>
            <w:tcW w:w="1167" w:type="dxa"/>
            <w:shd w:val="clear" w:color="auto" w:fill="FFFFFF"/>
          </w:tcPr>
          <w:p w:rsidR="00BB07DE" w:rsidRPr="00BB07DE" w:rsidRDefault="00BB07DE" w:rsidP="00BB07DE">
            <w:pPr>
              <w:tabs>
                <w:tab w:val="decimal" w:pos="731"/>
              </w:tabs>
              <w:rPr>
                <w:rFonts w:ascii="Verdana" w:hAnsi="Verdana"/>
                <w:sz w:val="22"/>
                <w:szCs w:val="22"/>
              </w:rPr>
            </w:pPr>
          </w:p>
        </w:tc>
        <w:tc>
          <w:tcPr>
            <w:tcW w:w="1167" w:type="dxa"/>
          </w:tcPr>
          <w:p w:rsidR="00BB07DE" w:rsidRPr="00BB07DE" w:rsidRDefault="00BB07DE" w:rsidP="00BB07DE">
            <w:pPr>
              <w:tabs>
                <w:tab w:val="decimal" w:pos="731"/>
              </w:tabs>
              <w:rPr>
                <w:rFonts w:ascii="Verdana" w:hAnsi="Verdana"/>
                <w:sz w:val="22"/>
                <w:szCs w:val="22"/>
              </w:rPr>
            </w:pPr>
          </w:p>
        </w:tc>
        <w:tc>
          <w:tcPr>
            <w:tcW w:w="1398" w:type="dxa"/>
          </w:tcPr>
          <w:p w:rsidR="00BB07DE" w:rsidRPr="00BB07DE" w:rsidRDefault="00BB07DE" w:rsidP="00BB07DE">
            <w:pPr>
              <w:tabs>
                <w:tab w:val="decimal" w:pos="731"/>
              </w:tabs>
              <w:rPr>
                <w:rFonts w:ascii="Verdana" w:hAnsi="Verdana"/>
                <w:sz w:val="22"/>
                <w:szCs w:val="22"/>
              </w:rPr>
            </w:pPr>
          </w:p>
        </w:tc>
      </w:tr>
    </w:tbl>
    <w:p w:rsidR="00BB07DE" w:rsidRPr="009C45F9" w:rsidRDefault="00BB07DE" w:rsidP="00BB07DE">
      <w:pPr>
        <w:rPr>
          <w:rFonts w:ascii="Verdana" w:hAnsi="Verdana"/>
          <w:sz w:val="16"/>
          <w:szCs w:val="16"/>
        </w:rPr>
      </w:pPr>
    </w:p>
    <w:tbl>
      <w:tblPr>
        <w:tblW w:w="0" w:type="auto"/>
        <w:jc w:val="center"/>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6"/>
        <w:gridCol w:w="1216"/>
        <w:gridCol w:w="1216"/>
        <w:gridCol w:w="1398"/>
      </w:tblGrid>
      <w:tr w:rsidR="00BB07DE" w:rsidRPr="009C45F9" w:rsidTr="007E0B54">
        <w:trPr>
          <w:tblHeader/>
          <w:jc w:val="center"/>
        </w:trPr>
        <w:tc>
          <w:tcPr>
            <w:tcW w:w="5066" w:type="dxa"/>
          </w:tcPr>
          <w:p w:rsidR="00BB07DE" w:rsidRPr="00BB07DE" w:rsidRDefault="00BB07DE" w:rsidP="001C2C30">
            <w:pPr>
              <w:rPr>
                <w:rFonts w:ascii="Verdana" w:hAnsi="Verdana"/>
                <w:b/>
                <w:sz w:val="22"/>
                <w:szCs w:val="22"/>
              </w:rPr>
            </w:pPr>
            <w:r w:rsidRPr="00BB07DE">
              <w:rPr>
                <w:rFonts w:ascii="Verdana" w:hAnsi="Verdana"/>
                <w:b/>
                <w:sz w:val="22"/>
                <w:szCs w:val="22"/>
              </w:rPr>
              <w:br/>
              <w:t>AS AT 30 JUNE</w:t>
            </w:r>
          </w:p>
        </w:tc>
        <w:tc>
          <w:tcPr>
            <w:tcW w:w="1216" w:type="dxa"/>
            <w:shd w:val="clear" w:color="auto" w:fill="CCCCCC"/>
          </w:tcPr>
          <w:p w:rsidR="00BB07DE" w:rsidRPr="00BB07DE" w:rsidRDefault="00BB07DE" w:rsidP="00BB07DE">
            <w:pPr>
              <w:jc w:val="center"/>
              <w:rPr>
                <w:rFonts w:ascii="Verdana" w:hAnsi="Verdana"/>
                <w:b/>
                <w:sz w:val="22"/>
                <w:szCs w:val="22"/>
              </w:rPr>
            </w:pPr>
            <w:r w:rsidRPr="00BB07DE">
              <w:rPr>
                <w:rFonts w:ascii="Verdana" w:hAnsi="Verdana"/>
                <w:b/>
                <w:sz w:val="22"/>
                <w:szCs w:val="22"/>
              </w:rPr>
              <w:t>2012</w:t>
            </w:r>
          </w:p>
          <w:p w:rsidR="00BB07DE" w:rsidRPr="00BB07DE" w:rsidRDefault="00BB07DE" w:rsidP="00BB07DE">
            <w:pPr>
              <w:jc w:val="center"/>
              <w:rPr>
                <w:rFonts w:ascii="Verdana" w:hAnsi="Verdana"/>
                <w:b/>
                <w:sz w:val="22"/>
                <w:szCs w:val="22"/>
              </w:rPr>
            </w:pPr>
            <w:r w:rsidRPr="00BB07DE">
              <w:rPr>
                <w:rFonts w:ascii="Verdana" w:hAnsi="Verdana"/>
                <w:b/>
                <w:sz w:val="22"/>
                <w:szCs w:val="22"/>
              </w:rPr>
              <w:t>$m</w:t>
            </w:r>
          </w:p>
        </w:tc>
        <w:tc>
          <w:tcPr>
            <w:tcW w:w="1216" w:type="dxa"/>
          </w:tcPr>
          <w:p w:rsidR="00BB07DE" w:rsidRPr="00BB07DE" w:rsidRDefault="00BB07DE" w:rsidP="00BB07DE">
            <w:pPr>
              <w:jc w:val="center"/>
              <w:rPr>
                <w:rFonts w:ascii="Verdana" w:hAnsi="Verdana"/>
                <w:b/>
                <w:sz w:val="22"/>
                <w:szCs w:val="22"/>
              </w:rPr>
            </w:pPr>
            <w:r w:rsidRPr="00BB07DE">
              <w:rPr>
                <w:rFonts w:ascii="Verdana" w:hAnsi="Verdana"/>
                <w:b/>
                <w:sz w:val="22"/>
                <w:szCs w:val="22"/>
              </w:rPr>
              <w:t>2011</w:t>
            </w:r>
          </w:p>
          <w:p w:rsidR="00BB07DE" w:rsidRPr="00BB07DE" w:rsidRDefault="00BB07DE" w:rsidP="00BB07DE">
            <w:pPr>
              <w:jc w:val="center"/>
              <w:rPr>
                <w:rFonts w:ascii="Verdana" w:hAnsi="Verdana"/>
                <w:b/>
                <w:sz w:val="22"/>
                <w:szCs w:val="22"/>
              </w:rPr>
            </w:pPr>
            <w:r w:rsidRPr="00BB07DE">
              <w:rPr>
                <w:rFonts w:ascii="Verdana" w:hAnsi="Verdana"/>
                <w:b/>
                <w:sz w:val="22"/>
                <w:szCs w:val="22"/>
              </w:rPr>
              <w:t>$m</w:t>
            </w:r>
          </w:p>
        </w:tc>
        <w:tc>
          <w:tcPr>
            <w:tcW w:w="1398" w:type="dxa"/>
          </w:tcPr>
          <w:p w:rsidR="00BB07DE" w:rsidRPr="00BB07DE" w:rsidRDefault="00BB07DE" w:rsidP="00BB07DE">
            <w:pPr>
              <w:jc w:val="center"/>
              <w:rPr>
                <w:rFonts w:ascii="Verdana" w:hAnsi="Verdana"/>
                <w:b/>
                <w:sz w:val="22"/>
                <w:szCs w:val="22"/>
              </w:rPr>
            </w:pPr>
            <w:r w:rsidRPr="00BB07DE">
              <w:rPr>
                <w:rFonts w:ascii="Verdana" w:hAnsi="Verdana"/>
                <w:b/>
                <w:sz w:val="22"/>
                <w:szCs w:val="22"/>
              </w:rPr>
              <w:t>$m change</w:t>
            </w:r>
          </w:p>
          <w:p w:rsidR="00BB07DE" w:rsidRPr="00BB07DE" w:rsidRDefault="00BB07DE" w:rsidP="00BB07DE">
            <w:pPr>
              <w:jc w:val="center"/>
              <w:rPr>
                <w:rFonts w:ascii="Verdana" w:hAnsi="Verdana"/>
                <w:b/>
                <w:sz w:val="22"/>
                <w:szCs w:val="22"/>
              </w:rPr>
            </w:pPr>
            <w:r w:rsidRPr="00BB07DE">
              <w:rPr>
                <w:rFonts w:ascii="Verdana" w:hAnsi="Verdana"/>
                <w:b/>
                <w:sz w:val="22"/>
                <w:szCs w:val="22"/>
              </w:rPr>
              <w:t>inc/(</w:t>
            </w:r>
            <w:proofErr w:type="spellStart"/>
            <w:r w:rsidRPr="00BB07DE">
              <w:rPr>
                <w:rFonts w:ascii="Verdana" w:hAnsi="Verdana"/>
                <w:b/>
                <w:sz w:val="22"/>
                <w:szCs w:val="22"/>
              </w:rPr>
              <w:t>dec</w:t>
            </w:r>
            <w:proofErr w:type="spellEnd"/>
            <w:r w:rsidRPr="00BB07DE">
              <w:rPr>
                <w:rFonts w:ascii="Verdana" w:hAnsi="Verdana"/>
                <w:b/>
                <w:sz w:val="22"/>
                <w:szCs w:val="22"/>
              </w:rPr>
              <w:t>)</w:t>
            </w:r>
          </w:p>
        </w:tc>
      </w:tr>
      <w:tr w:rsidR="00BB07DE" w:rsidRPr="009C45F9" w:rsidTr="007E0B54">
        <w:trPr>
          <w:tblHeader/>
          <w:jc w:val="center"/>
        </w:trPr>
        <w:tc>
          <w:tcPr>
            <w:tcW w:w="5066" w:type="dxa"/>
          </w:tcPr>
          <w:p w:rsidR="00BB07DE" w:rsidRPr="00BB07DE" w:rsidRDefault="00BB07DE" w:rsidP="001C2C30">
            <w:pPr>
              <w:rPr>
                <w:rFonts w:ascii="Verdana" w:hAnsi="Verdana"/>
                <w:b/>
                <w:sz w:val="22"/>
                <w:szCs w:val="22"/>
              </w:rPr>
            </w:pPr>
          </w:p>
        </w:tc>
        <w:tc>
          <w:tcPr>
            <w:tcW w:w="1216" w:type="dxa"/>
            <w:shd w:val="clear" w:color="auto" w:fill="CCCCCC"/>
          </w:tcPr>
          <w:p w:rsidR="00BB07DE" w:rsidRPr="00BB07DE" w:rsidRDefault="00BB07DE" w:rsidP="00BB07DE">
            <w:pPr>
              <w:tabs>
                <w:tab w:val="decimal" w:pos="731"/>
              </w:tabs>
              <w:rPr>
                <w:rFonts w:ascii="Verdana" w:hAnsi="Verdana"/>
                <w:sz w:val="22"/>
                <w:szCs w:val="22"/>
              </w:rPr>
            </w:pPr>
          </w:p>
        </w:tc>
        <w:tc>
          <w:tcPr>
            <w:tcW w:w="1216" w:type="dxa"/>
          </w:tcPr>
          <w:p w:rsidR="00BB07DE" w:rsidRPr="00BB07DE" w:rsidRDefault="00BB07DE" w:rsidP="00BB07DE">
            <w:pPr>
              <w:tabs>
                <w:tab w:val="decimal" w:pos="731"/>
              </w:tabs>
              <w:rPr>
                <w:rFonts w:ascii="Verdana" w:hAnsi="Verdana"/>
                <w:sz w:val="22"/>
                <w:szCs w:val="22"/>
              </w:rPr>
            </w:pPr>
          </w:p>
        </w:tc>
        <w:tc>
          <w:tcPr>
            <w:tcW w:w="1398" w:type="dxa"/>
          </w:tcPr>
          <w:p w:rsidR="00BB07DE" w:rsidRPr="00BB07DE" w:rsidRDefault="00BB07DE" w:rsidP="00BB07DE">
            <w:pPr>
              <w:tabs>
                <w:tab w:val="decimal" w:pos="731"/>
              </w:tabs>
              <w:rPr>
                <w:rFonts w:ascii="Verdana" w:hAnsi="Verdana"/>
                <w:sz w:val="22"/>
                <w:szCs w:val="22"/>
              </w:rPr>
            </w:pPr>
          </w:p>
        </w:tc>
      </w:tr>
      <w:tr w:rsidR="00BB07DE" w:rsidRPr="009C45F9" w:rsidTr="007E0B54">
        <w:trPr>
          <w:jc w:val="center"/>
        </w:trPr>
        <w:tc>
          <w:tcPr>
            <w:tcW w:w="5066" w:type="dxa"/>
          </w:tcPr>
          <w:p w:rsidR="00BB07DE" w:rsidRPr="00BB07DE" w:rsidRDefault="00BB07DE" w:rsidP="001C2C30">
            <w:pPr>
              <w:rPr>
                <w:rFonts w:ascii="Verdana" w:hAnsi="Verdana"/>
                <w:b/>
                <w:sz w:val="22"/>
                <w:szCs w:val="22"/>
              </w:rPr>
            </w:pPr>
            <w:r w:rsidRPr="00BB07DE">
              <w:rPr>
                <w:rFonts w:ascii="Verdana" w:hAnsi="Verdana"/>
                <w:b/>
                <w:sz w:val="22"/>
                <w:szCs w:val="22"/>
              </w:rPr>
              <w:t>FINANCIAL POSITION</w:t>
            </w:r>
          </w:p>
        </w:tc>
        <w:tc>
          <w:tcPr>
            <w:tcW w:w="1216" w:type="dxa"/>
            <w:shd w:val="clear" w:color="auto" w:fill="CCCCCC"/>
          </w:tcPr>
          <w:p w:rsidR="00BB07DE" w:rsidRPr="00BB07DE" w:rsidRDefault="00BB07DE" w:rsidP="00BB07DE">
            <w:pPr>
              <w:tabs>
                <w:tab w:val="decimal" w:pos="731"/>
              </w:tabs>
              <w:rPr>
                <w:rFonts w:ascii="Verdana" w:hAnsi="Verdana"/>
                <w:sz w:val="22"/>
                <w:szCs w:val="22"/>
              </w:rPr>
            </w:pPr>
          </w:p>
        </w:tc>
        <w:tc>
          <w:tcPr>
            <w:tcW w:w="1216" w:type="dxa"/>
          </w:tcPr>
          <w:p w:rsidR="00BB07DE" w:rsidRPr="00BB07DE" w:rsidRDefault="00BB07DE" w:rsidP="00BB07DE">
            <w:pPr>
              <w:tabs>
                <w:tab w:val="decimal" w:pos="731"/>
              </w:tabs>
              <w:rPr>
                <w:rFonts w:ascii="Verdana" w:hAnsi="Verdana"/>
                <w:sz w:val="22"/>
                <w:szCs w:val="22"/>
              </w:rPr>
            </w:pPr>
          </w:p>
        </w:tc>
        <w:tc>
          <w:tcPr>
            <w:tcW w:w="1398" w:type="dxa"/>
          </w:tcPr>
          <w:p w:rsidR="00BB07DE" w:rsidRPr="00BB07DE" w:rsidRDefault="00BB07DE" w:rsidP="00BB07DE">
            <w:pPr>
              <w:tabs>
                <w:tab w:val="decimal" w:pos="731"/>
              </w:tabs>
              <w:rPr>
                <w:rFonts w:ascii="Verdana" w:hAnsi="Verdana"/>
                <w:sz w:val="22"/>
                <w:szCs w:val="22"/>
              </w:rPr>
            </w:pPr>
          </w:p>
        </w:tc>
      </w:tr>
      <w:tr w:rsidR="00BB07DE" w:rsidRPr="009C45F9" w:rsidTr="007E0B54">
        <w:trPr>
          <w:jc w:val="center"/>
        </w:trPr>
        <w:tc>
          <w:tcPr>
            <w:tcW w:w="5066" w:type="dxa"/>
          </w:tcPr>
          <w:p w:rsidR="00BB07DE" w:rsidRPr="00BB07DE" w:rsidRDefault="00BB07DE" w:rsidP="001C2C30">
            <w:pPr>
              <w:rPr>
                <w:rFonts w:ascii="Verdana" w:hAnsi="Verdana"/>
                <w:sz w:val="22"/>
                <w:szCs w:val="22"/>
              </w:rPr>
            </w:pPr>
            <w:r w:rsidRPr="00BB07DE">
              <w:rPr>
                <w:rFonts w:ascii="Verdana" w:hAnsi="Verdana"/>
                <w:sz w:val="22"/>
                <w:szCs w:val="22"/>
              </w:rPr>
              <w:t>Total assets</w:t>
            </w:r>
          </w:p>
        </w:tc>
        <w:tc>
          <w:tcPr>
            <w:tcW w:w="1216" w:type="dxa"/>
            <w:shd w:val="clear" w:color="auto" w:fill="CCCCCC"/>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45,136.6</w:t>
            </w:r>
          </w:p>
        </w:tc>
        <w:tc>
          <w:tcPr>
            <w:tcW w:w="1216"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42,393.6</w:t>
            </w:r>
          </w:p>
        </w:tc>
        <w:tc>
          <w:tcPr>
            <w:tcW w:w="1398"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2,743.0</w:t>
            </w:r>
          </w:p>
        </w:tc>
      </w:tr>
      <w:tr w:rsidR="00BB07DE" w:rsidRPr="009C45F9" w:rsidTr="007E0B54">
        <w:trPr>
          <w:jc w:val="center"/>
        </w:trPr>
        <w:tc>
          <w:tcPr>
            <w:tcW w:w="5066" w:type="dxa"/>
          </w:tcPr>
          <w:p w:rsidR="00BB07DE" w:rsidRPr="00BB07DE" w:rsidRDefault="00BB07DE" w:rsidP="001C2C30">
            <w:pPr>
              <w:rPr>
                <w:rFonts w:ascii="Verdana" w:hAnsi="Verdana"/>
                <w:sz w:val="22"/>
                <w:szCs w:val="22"/>
              </w:rPr>
            </w:pPr>
            <w:r w:rsidRPr="00BB07DE">
              <w:rPr>
                <w:rFonts w:ascii="Verdana" w:hAnsi="Verdana"/>
                <w:sz w:val="22"/>
                <w:szCs w:val="22"/>
              </w:rPr>
              <w:t>Total liabilities</w:t>
            </w:r>
          </w:p>
        </w:tc>
        <w:tc>
          <w:tcPr>
            <w:tcW w:w="1216" w:type="dxa"/>
            <w:shd w:val="clear" w:color="auto" w:fill="CCCCCC"/>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419.3</w:t>
            </w:r>
          </w:p>
        </w:tc>
        <w:tc>
          <w:tcPr>
            <w:tcW w:w="1216"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437.1</w:t>
            </w:r>
          </w:p>
        </w:tc>
        <w:tc>
          <w:tcPr>
            <w:tcW w:w="1398"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(17.8)</w:t>
            </w:r>
          </w:p>
        </w:tc>
      </w:tr>
      <w:tr w:rsidR="00BB07DE" w:rsidRPr="009C45F9" w:rsidTr="007E0B54">
        <w:trPr>
          <w:jc w:val="center"/>
        </w:trPr>
        <w:tc>
          <w:tcPr>
            <w:tcW w:w="5066" w:type="dxa"/>
          </w:tcPr>
          <w:p w:rsidR="00BB07DE" w:rsidRPr="00BB07DE" w:rsidRDefault="00BB07DE" w:rsidP="001C2C30">
            <w:pPr>
              <w:rPr>
                <w:rFonts w:ascii="Verdana" w:hAnsi="Verdana"/>
                <w:sz w:val="22"/>
                <w:szCs w:val="22"/>
              </w:rPr>
            </w:pPr>
            <w:r w:rsidRPr="00BB07DE">
              <w:rPr>
                <w:rFonts w:ascii="Verdana" w:hAnsi="Verdana"/>
                <w:sz w:val="22"/>
                <w:szCs w:val="22"/>
              </w:rPr>
              <w:t>NET ASSETS</w:t>
            </w:r>
          </w:p>
        </w:tc>
        <w:tc>
          <w:tcPr>
            <w:tcW w:w="1216" w:type="dxa"/>
            <w:shd w:val="clear" w:color="auto" w:fill="CCCCCC"/>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44,717.3</w:t>
            </w:r>
          </w:p>
        </w:tc>
        <w:tc>
          <w:tcPr>
            <w:tcW w:w="1216"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41,956.5</w:t>
            </w:r>
          </w:p>
        </w:tc>
        <w:tc>
          <w:tcPr>
            <w:tcW w:w="1398"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2,760.8</w:t>
            </w:r>
          </w:p>
        </w:tc>
      </w:tr>
      <w:tr w:rsidR="00BB07DE" w:rsidRPr="009C45F9" w:rsidTr="007E0B54">
        <w:trPr>
          <w:jc w:val="center"/>
        </w:trPr>
        <w:tc>
          <w:tcPr>
            <w:tcW w:w="5066" w:type="dxa"/>
          </w:tcPr>
          <w:p w:rsidR="00BB07DE" w:rsidRPr="00BB07DE" w:rsidRDefault="00BB07DE" w:rsidP="001C2C30">
            <w:pPr>
              <w:rPr>
                <w:rFonts w:ascii="Verdana" w:hAnsi="Verdana"/>
                <w:sz w:val="22"/>
                <w:szCs w:val="22"/>
              </w:rPr>
            </w:pPr>
          </w:p>
        </w:tc>
        <w:tc>
          <w:tcPr>
            <w:tcW w:w="1216" w:type="dxa"/>
            <w:shd w:val="clear" w:color="auto" w:fill="CCCCCC"/>
          </w:tcPr>
          <w:p w:rsidR="00BB07DE" w:rsidRPr="00BB07DE" w:rsidRDefault="00BB07DE" w:rsidP="00BB07DE">
            <w:pPr>
              <w:tabs>
                <w:tab w:val="decimal" w:pos="731"/>
              </w:tabs>
              <w:rPr>
                <w:rFonts w:ascii="Verdana" w:hAnsi="Verdana"/>
                <w:sz w:val="22"/>
                <w:szCs w:val="22"/>
              </w:rPr>
            </w:pPr>
          </w:p>
        </w:tc>
        <w:tc>
          <w:tcPr>
            <w:tcW w:w="1216" w:type="dxa"/>
          </w:tcPr>
          <w:p w:rsidR="00BB07DE" w:rsidRPr="00BB07DE" w:rsidRDefault="00BB07DE" w:rsidP="00BB07DE">
            <w:pPr>
              <w:tabs>
                <w:tab w:val="decimal" w:pos="731"/>
              </w:tabs>
              <w:rPr>
                <w:rFonts w:ascii="Verdana" w:hAnsi="Verdana"/>
                <w:sz w:val="22"/>
                <w:szCs w:val="22"/>
              </w:rPr>
            </w:pPr>
          </w:p>
        </w:tc>
        <w:tc>
          <w:tcPr>
            <w:tcW w:w="1398" w:type="dxa"/>
          </w:tcPr>
          <w:p w:rsidR="00BB07DE" w:rsidRPr="00BB07DE" w:rsidRDefault="00BB07DE" w:rsidP="00BB07DE">
            <w:pPr>
              <w:tabs>
                <w:tab w:val="decimal" w:pos="731"/>
              </w:tabs>
              <w:rPr>
                <w:rFonts w:ascii="Verdana" w:hAnsi="Verdana"/>
                <w:sz w:val="22"/>
                <w:szCs w:val="22"/>
              </w:rPr>
            </w:pPr>
          </w:p>
        </w:tc>
      </w:tr>
      <w:tr w:rsidR="00BB07DE" w:rsidRPr="009C45F9" w:rsidTr="007E0B54">
        <w:trPr>
          <w:jc w:val="center"/>
        </w:trPr>
        <w:tc>
          <w:tcPr>
            <w:tcW w:w="5066" w:type="dxa"/>
          </w:tcPr>
          <w:p w:rsidR="00BB07DE" w:rsidRPr="00BB07DE" w:rsidRDefault="00BB07DE" w:rsidP="001C2C30">
            <w:pPr>
              <w:rPr>
                <w:rFonts w:ascii="Verdana" w:hAnsi="Verdana"/>
                <w:b/>
                <w:sz w:val="22"/>
                <w:szCs w:val="22"/>
              </w:rPr>
            </w:pPr>
            <w:r w:rsidRPr="00BB07DE">
              <w:rPr>
                <w:rFonts w:ascii="Verdana" w:hAnsi="Verdana"/>
                <w:b/>
                <w:sz w:val="22"/>
                <w:szCs w:val="22"/>
              </w:rPr>
              <w:t>LIABILITIES ADMINISTERED ON BEHALF OF THE VICTORIAN GOVERNMENT</w:t>
            </w:r>
          </w:p>
        </w:tc>
        <w:tc>
          <w:tcPr>
            <w:tcW w:w="1216" w:type="dxa"/>
            <w:shd w:val="clear" w:color="auto" w:fill="CCCCCC"/>
          </w:tcPr>
          <w:p w:rsidR="00BB07DE" w:rsidRPr="00BB07DE" w:rsidRDefault="00BB07DE" w:rsidP="00BB07DE">
            <w:pPr>
              <w:tabs>
                <w:tab w:val="decimal" w:pos="731"/>
              </w:tabs>
              <w:rPr>
                <w:rFonts w:ascii="Verdana" w:hAnsi="Verdana"/>
                <w:sz w:val="22"/>
                <w:szCs w:val="22"/>
              </w:rPr>
            </w:pPr>
          </w:p>
        </w:tc>
        <w:tc>
          <w:tcPr>
            <w:tcW w:w="1216" w:type="dxa"/>
          </w:tcPr>
          <w:p w:rsidR="00BB07DE" w:rsidRPr="00BB07DE" w:rsidRDefault="00BB07DE" w:rsidP="00BB07DE">
            <w:pPr>
              <w:tabs>
                <w:tab w:val="decimal" w:pos="731"/>
              </w:tabs>
              <w:rPr>
                <w:rFonts w:ascii="Verdana" w:hAnsi="Verdana"/>
                <w:sz w:val="22"/>
                <w:szCs w:val="22"/>
              </w:rPr>
            </w:pPr>
          </w:p>
        </w:tc>
        <w:tc>
          <w:tcPr>
            <w:tcW w:w="1398" w:type="dxa"/>
          </w:tcPr>
          <w:p w:rsidR="00BB07DE" w:rsidRPr="00BB07DE" w:rsidRDefault="00BB07DE" w:rsidP="00BB07DE">
            <w:pPr>
              <w:tabs>
                <w:tab w:val="decimal" w:pos="731"/>
              </w:tabs>
              <w:rPr>
                <w:rFonts w:ascii="Verdana" w:hAnsi="Verdana"/>
                <w:sz w:val="22"/>
                <w:szCs w:val="22"/>
              </w:rPr>
            </w:pPr>
          </w:p>
        </w:tc>
      </w:tr>
      <w:tr w:rsidR="00BB07DE" w:rsidRPr="009C45F9" w:rsidTr="007E0B54">
        <w:trPr>
          <w:jc w:val="center"/>
        </w:trPr>
        <w:tc>
          <w:tcPr>
            <w:tcW w:w="5066" w:type="dxa"/>
          </w:tcPr>
          <w:p w:rsidR="00BB07DE" w:rsidRPr="00BB07DE" w:rsidRDefault="00BB07DE" w:rsidP="001C2C30">
            <w:pPr>
              <w:rPr>
                <w:rFonts w:ascii="Verdana" w:hAnsi="Verdana"/>
                <w:sz w:val="22"/>
                <w:szCs w:val="22"/>
              </w:rPr>
            </w:pPr>
            <w:r w:rsidRPr="00BB07DE">
              <w:rPr>
                <w:rFonts w:ascii="Verdana" w:hAnsi="Verdana"/>
                <w:sz w:val="22"/>
                <w:szCs w:val="22"/>
              </w:rPr>
              <w:t>Total liabilities</w:t>
            </w:r>
          </w:p>
        </w:tc>
        <w:tc>
          <w:tcPr>
            <w:tcW w:w="1216" w:type="dxa"/>
            <w:shd w:val="clear" w:color="auto" w:fill="CCCCCC"/>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346.4</w:t>
            </w:r>
          </w:p>
        </w:tc>
        <w:tc>
          <w:tcPr>
            <w:tcW w:w="1216"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341.1</w:t>
            </w:r>
          </w:p>
        </w:tc>
        <w:tc>
          <w:tcPr>
            <w:tcW w:w="1398" w:type="dxa"/>
          </w:tcPr>
          <w:p w:rsidR="00BB07DE" w:rsidRPr="00BB07DE" w:rsidRDefault="00BB07DE" w:rsidP="00BB07DE">
            <w:pPr>
              <w:tabs>
                <w:tab w:val="decimal" w:pos="731"/>
              </w:tabs>
              <w:rPr>
                <w:rFonts w:ascii="Verdana" w:hAnsi="Verdana"/>
                <w:sz w:val="22"/>
                <w:szCs w:val="22"/>
              </w:rPr>
            </w:pPr>
            <w:r w:rsidRPr="00BB07DE">
              <w:rPr>
                <w:rFonts w:ascii="Verdana" w:hAnsi="Verdana"/>
                <w:sz w:val="22"/>
                <w:szCs w:val="22"/>
              </w:rPr>
              <w:t>5.3</w:t>
            </w:r>
          </w:p>
        </w:tc>
      </w:tr>
    </w:tbl>
    <w:p w:rsidR="00BB07DE" w:rsidRPr="009C45F9" w:rsidRDefault="00BB07DE" w:rsidP="00BB07DE">
      <w:pPr>
        <w:pStyle w:val="Heading1"/>
        <w:rPr>
          <w:rFonts w:ascii="Verdana" w:hAnsi="Verdana"/>
          <w:sz w:val="20"/>
          <w:szCs w:val="20"/>
        </w:rPr>
      </w:pPr>
      <w:r w:rsidRPr="009C45F9">
        <w:rPr>
          <w:lang w:eastAsia="en-AU"/>
        </w:rPr>
        <w:br w:type="page"/>
      </w:r>
      <w:r w:rsidRPr="009C45F9">
        <w:rPr>
          <w:rFonts w:ascii="Verdana" w:hAnsi="Verdana"/>
          <w:sz w:val="20"/>
          <w:szCs w:val="20"/>
        </w:rPr>
        <w:lastRenderedPageBreak/>
        <w:t>FINANCIAL OVERVIEW</w:t>
      </w:r>
    </w:p>
    <w:p w:rsidR="00BB07DE" w:rsidRPr="00754D01" w:rsidRDefault="00BB07DE" w:rsidP="00BB07DE">
      <w:pPr>
        <w:pStyle w:val="Heading1"/>
        <w:rPr>
          <w:rFonts w:ascii="Verdana" w:hAnsi="Verdana" w:cs="DIN-Light"/>
          <w:b w:val="0"/>
          <w:sz w:val="18"/>
          <w:szCs w:val="18"/>
          <w:lang w:eastAsia="en-AU"/>
        </w:rPr>
      </w:pPr>
      <w:r w:rsidRPr="00754D01">
        <w:rPr>
          <w:rFonts w:ascii="Verdana" w:hAnsi="Verdana"/>
          <w:b w:val="0"/>
          <w:sz w:val="18"/>
          <w:szCs w:val="18"/>
        </w:rPr>
        <w:t>VicRoads total expenditure</w:t>
      </w:r>
      <w:r w:rsidRPr="00754D01">
        <w:rPr>
          <w:rFonts w:ascii="Verdana" w:hAnsi="Verdana" w:cs="DIN-Light"/>
          <w:b w:val="0"/>
          <w:sz w:val="18"/>
          <w:szCs w:val="18"/>
          <w:lang w:eastAsia="en-AU"/>
        </w:rPr>
        <w:t xml:space="preserve"> was $2.4 billion in 2011-12, $0.1 billion less than the previous year.  This expenditure comprised $1.5 billion in expenses from transactions and $0.9 billion in capital works expenditure.</w:t>
      </w:r>
    </w:p>
    <w:p w:rsidR="00BB07DE" w:rsidRPr="00754D01" w:rsidRDefault="00BB07DE" w:rsidP="00BB07DE">
      <w:pPr>
        <w:jc w:val="both"/>
        <w:rPr>
          <w:rFonts w:ascii="Verdana" w:hAnsi="Verdana" w:cs="DIN-Light"/>
          <w:sz w:val="18"/>
          <w:szCs w:val="18"/>
          <w:lang w:eastAsia="en-AU"/>
        </w:rPr>
      </w:pPr>
    </w:p>
    <w:p w:rsidR="00BB07DE" w:rsidRPr="00754D01" w:rsidRDefault="00BB07DE" w:rsidP="00BB07DE">
      <w:pPr>
        <w:jc w:val="both"/>
        <w:rPr>
          <w:rFonts w:ascii="Verdana" w:hAnsi="Verdana" w:cs="DIN-Light"/>
          <w:sz w:val="18"/>
          <w:szCs w:val="18"/>
          <w:lang w:eastAsia="en-AU"/>
        </w:rPr>
      </w:pPr>
      <w:r w:rsidRPr="00754D01">
        <w:rPr>
          <w:rFonts w:ascii="Verdana" w:hAnsi="Verdana" w:cs="DIN-Light"/>
          <w:sz w:val="18"/>
          <w:szCs w:val="18"/>
          <w:lang w:eastAsia="en-AU"/>
        </w:rPr>
        <w:t>The total expenditure for 2011-12 comprised $1.9 billion in delivering outputs and $0.5 billion relating to the expensing of assets recognised as outputs in previous years.</w:t>
      </w:r>
    </w:p>
    <w:p w:rsidR="00BB07DE" w:rsidRPr="00754D01" w:rsidRDefault="00BB07DE" w:rsidP="00BB07DE">
      <w:pPr>
        <w:jc w:val="both"/>
        <w:rPr>
          <w:rFonts w:ascii="Verdana" w:hAnsi="Verdana" w:cs="DIN-Light"/>
          <w:sz w:val="18"/>
          <w:szCs w:val="18"/>
          <w:lang w:eastAsia="en-AU"/>
        </w:rPr>
      </w:pPr>
    </w:p>
    <w:p w:rsidR="00BB07DE" w:rsidRPr="00754D01" w:rsidRDefault="00BB07DE" w:rsidP="00BB07DE">
      <w:pPr>
        <w:jc w:val="both"/>
        <w:rPr>
          <w:rFonts w:ascii="Verdana" w:hAnsi="Verdana" w:cs="DIN-Light"/>
          <w:sz w:val="18"/>
          <w:szCs w:val="18"/>
          <w:lang w:eastAsia="en-AU"/>
        </w:rPr>
      </w:pPr>
      <w:proofErr w:type="gramStart"/>
      <w:r w:rsidRPr="00754D01">
        <w:rPr>
          <w:rFonts w:ascii="Verdana" w:hAnsi="Verdana" w:cs="DIN-Light"/>
          <w:sz w:val="18"/>
          <w:szCs w:val="18"/>
          <w:lang w:eastAsia="en-AU"/>
        </w:rPr>
        <w:t>The value of road infrastructure and other assets managed by VicRoads increased by $2.7 billion to $45.1 billion during 2011-12.</w:t>
      </w:r>
      <w:proofErr w:type="gramEnd"/>
      <w:r w:rsidRPr="00754D01">
        <w:rPr>
          <w:rFonts w:ascii="Verdana" w:hAnsi="Verdana" w:cs="DIN-Light"/>
          <w:sz w:val="18"/>
          <w:szCs w:val="18"/>
          <w:lang w:eastAsia="en-AU"/>
        </w:rPr>
        <w:t xml:space="preserve">  Total liabilities decreased by $17.8 million to $419.3 million during the year.  These movements in assets and liabilities resulted in a growth in net assets of $2.8 billion to $44.7 billion as at 30 June 2012.</w:t>
      </w:r>
    </w:p>
    <w:p w:rsidR="00BB07DE" w:rsidRPr="009C45F9" w:rsidRDefault="00BB07DE" w:rsidP="00BB07DE">
      <w:pPr>
        <w:jc w:val="both"/>
        <w:rPr>
          <w:rFonts w:ascii="Verdana" w:hAnsi="Verdana" w:cs="DIN-Light"/>
          <w:sz w:val="18"/>
          <w:szCs w:val="18"/>
          <w:lang w:eastAsia="en-AU"/>
        </w:rPr>
      </w:pPr>
    </w:p>
    <w:p w:rsidR="00BB07DE" w:rsidRPr="009C45F9" w:rsidRDefault="00BB07DE" w:rsidP="00BB07DE">
      <w:pPr>
        <w:pStyle w:val="Heading1"/>
        <w:rPr>
          <w:rFonts w:ascii="Verdana" w:hAnsi="Verdana"/>
          <w:sz w:val="20"/>
          <w:szCs w:val="20"/>
        </w:rPr>
      </w:pPr>
      <w:r w:rsidRPr="009C45F9">
        <w:rPr>
          <w:rFonts w:ascii="Verdana" w:hAnsi="Verdana"/>
          <w:sz w:val="20"/>
          <w:szCs w:val="20"/>
        </w:rPr>
        <w:t>FINANCIAL PERFORMANCE</w:t>
      </w:r>
    </w:p>
    <w:p w:rsidR="00BB07DE" w:rsidRPr="009C45F9" w:rsidRDefault="00BB07DE" w:rsidP="00BB07DE">
      <w:pPr>
        <w:autoSpaceDE w:val="0"/>
        <w:autoSpaceDN w:val="0"/>
        <w:adjustRightInd w:val="0"/>
        <w:rPr>
          <w:rFonts w:ascii="Verdana" w:hAnsi="Verdana" w:cs="DIN-Bold"/>
          <w:b/>
          <w:bCs/>
          <w:sz w:val="22"/>
          <w:szCs w:val="22"/>
          <w:lang w:eastAsia="en-AU"/>
        </w:rPr>
      </w:pPr>
    </w:p>
    <w:p w:rsidR="00BB07DE" w:rsidRPr="009C45F9" w:rsidRDefault="00BB07DE" w:rsidP="00BB07DE">
      <w:pPr>
        <w:autoSpaceDE w:val="0"/>
        <w:autoSpaceDN w:val="0"/>
        <w:adjustRightInd w:val="0"/>
        <w:jc w:val="both"/>
        <w:rPr>
          <w:rFonts w:ascii="Verdana" w:hAnsi="Verdana" w:cs="DIN-Light"/>
          <w:sz w:val="18"/>
          <w:szCs w:val="18"/>
          <w:lang w:eastAsia="en-AU"/>
        </w:rPr>
      </w:pPr>
      <w:r w:rsidRPr="009C45F9">
        <w:rPr>
          <w:rFonts w:ascii="Verdana" w:hAnsi="Verdana" w:cs="DIN-Light"/>
          <w:sz w:val="18"/>
          <w:szCs w:val="18"/>
          <w:lang w:eastAsia="en-AU"/>
        </w:rPr>
        <w:t>VicRoads recorded a net result surplus of $499.5 million in 2011-12 compared with a net surplus of $224.9 million in the previous year.  The increase in surplus was due principally to increased funding provided through Victorian Government Appropriations and assets received free of charge.</w:t>
      </w:r>
    </w:p>
    <w:p w:rsidR="00BB07DE" w:rsidRPr="009C45F9" w:rsidRDefault="00BB07DE" w:rsidP="00BB07DE">
      <w:pPr>
        <w:autoSpaceDE w:val="0"/>
        <w:autoSpaceDN w:val="0"/>
        <w:adjustRightInd w:val="0"/>
        <w:jc w:val="both"/>
        <w:rPr>
          <w:rFonts w:ascii="Verdana" w:hAnsi="Verdana" w:cs="DIN-Light"/>
          <w:sz w:val="18"/>
          <w:szCs w:val="18"/>
          <w:lang w:eastAsia="en-AU"/>
        </w:rPr>
      </w:pPr>
    </w:p>
    <w:p w:rsidR="00BB07DE" w:rsidRPr="009C45F9" w:rsidRDefault="00BB07DE" w:rsidP="00BB07DE">
      <w:pPr>
        <w:autoSpaceDE w:val="0"/>
        <w:autoSpaceDN w:val="0"/>
        <w:adjustRightInd w:val="0"/>
        <w:jc w:val="both"/>
        <w:rPr>
          <w:rFonts w:ascii="Verdana" w:hAnsi="Verdana" w:cs="DIN-Light"/>
          <w:sz w:val="18"/>
          <w:szCs w:val="18"/>
          <w:lang w:eastAsia="en-AU"/>
        </w:rPr>
      </w:pPr>
      <w:r w:rsidRPr="009C45F9">
        <w:rPr>
          <w:rFonts w:ascii="Verdana" w:hAnsi="Verdana" w:cs="DIN-Light"/>
          <w:sz w:val="18"/>
          <w:szCs w:val="18"/>
          <w:lang w:eastAsia="en-AU"/>
        </w:rPr>
        <w:t>The 2011-12 net result surplus was achieved after recognising as revenue $836.5 million to fund capital works expenditure, $79.6 million to fund an increase in working capital, $118.0 million as assets received free of charge, and $7.0 million arising from asset register adjustments.  These revenue items were partly offset by the expensing of assets which were funded by revenue from Governments Grants in previous years, via depreciation, disposal or divestment, totalling $541.6 million.</w:t>
      </w:r>
    </w:p>
    <w:p w:rsidR="00BB07DE" w:rsidRPr="009C45F9" w:rsidRDefault="00BB07DE" w:rsidP="00BB07DE">
      <w:pPr>
        <w:autoSpaceDE w:val="0"/>
        <w:autoSpaceDN w:val="0"/>
        <w:adjustRightInd w:val="0"/>
        <w:jc w:val="both"/>
        <w:rPr>
          <w:rFonts w:ascii="Verdana" w:hAnsi="Verdana" w:cs="DIN-Light"/>
          <w:sz w:val="18"/>
          <w:szCs w:val="18"/>
          <w:lang w:eastAsia="en-AU"/>
        </w:rPr>
      </w:pPr>
    </w:p>
    <w:p w:rsidR="00BB07DE" w:rsidRPr="009C45F9" w:rsidRDefault="00BB07DE" w:rsidP="00BB07DE">
      <w:pPr>
        <w:pStyle w:val="Heading1"/>
        <w:rPr>
          <w:rFonts w:ascii="Verdana" w:hAnsi="Verdana"/>
          <w:sz w:val="20"/>
          <w:szCs w:val="20"/>
        </w:rPr>
      </w:pPr>
      <w:r w:rsidRPr="009C45F9">
        <w:rPr>
          <w:rFonts w:ascii="Verdana" w:hAnsi="Verdana"/>
          <w:sz w:val="20"/>
          <w:szCs w:val="20"/>
        </w:rPr>
        <w:t>FUNDING SOURCES</w:t>
      </w:r>
    </w:p>
    <w:p w:rsidR="00BB07DE" w:rsidRPr="009C45F9" w:rsidRDefault="00BB07DE" w:rsidP="00BB07DE">
      <w:pPr>
        <w:autoSpaceDE w:val="0"/>
        <w:autoSpaceDN w:val="0"/>
        <w:adjustRightInd w:val="0"/>
        <w:jc w:val="both"/>
        <w:rPr>
          <w:rFonts w:ascii="Verdana" w:hAnsi="Verdana" w:cs="DIN-Light"/>
          <w:sz w:val="18"/>
          <w:szCs w:val="18"/>
          <w:lang w:eastAsia="en-AU"/>
        </w:rPr>
      </w:pPr>
    </w:p>
    <w:p w:rsidR="00BB07DE" w:rsidRPr="009C45F9" w:rsidRDefault="00BB07DE" w:rsidP="00BB07DE">
      <w:pPr>
        <w:autoSpaceDE w:val="0"/>
        <w:autoSpaceDN w:val="0"/>
        <w:adjustRightInd w:val="0"/>
        <w:jc w:val="both"/>
        <w:rPr>
          <w:rFonts w:ascii="Verdana" w:hAnsi="Verdana" w:cs="DIN-Light"/>
          <w:sz w:val="18"/>
          <w:szCs w:val="18"/>
          <w:lang w:eastAsia="en-AU"/>
        </w:rPr>
      </w:pPr>
      <w:r w:rsidRPr="009C45F9">
        <w:rPr>
          <w:rFonts w:ascii="Verdana" w:hAnsi="Verdana" w:cs="DIN-Light"/>
          <w:sz w:val="18"/>
          <w:szCs w:val="18"/>
          <w:lang w:eastAsia="en-AU"/>
        </w:rPr>
        <w:t>VicRoads funding is derived from the Victorian Government annual budget, program funding from the Transport Accident Commission, revenue from regulatory fees and fee-for-service charges.  Funding for operating outputs and capital works from all sources totalled $2.0 billion during 2011-12, a decrease of $41.1 million on the previous year.</w:t>
      </w:r>
    </w:p>
    <w:p w:rsidR="00BB07DE" w:rsidRPr="009C45F9" w:rsidRDefault="00BB07DE" w:rsidP="00BB07DE">
      <w:pPr>
        <w:autoSpaceDE w:val="0"/>
        <w:autoSpaceDN w:val="0"/>
        <w:adjustRightInd w:val="0"/>
        <w:jc w:val="both"/>
        <w:rPr>
          <w:rFonts w:ascii="Verdana" w:hAnsi="Verdana" w:cs="DIN-Light"/>
          <w:sz w:val="18"/>
          <w:szCs w:val="18"/>
          <w:lang w:eastAsia="en-AU"/>
        </w:rPr>
      </w:pPr>
    </w:p>
    <w:p w:rsidR="00BB07DE" w:rsidRPr="009C45F9" w:rsidRDefault="00BB07DE" w:rsidP="00BB07DE">
      <w:pPr>
        <w:autoSpaceDE w:val="0"/>
        <w:autoSpaceDN w:val="0"/>
        <w:adjustRightInd w:val="0"/>
        <w:jc w:val="both"/>
        <w:rPr>
          <w:rFonts w:ascii="Verdana" w:hAnsi="Verdana" w:cs="DIN-Light"/>
          <w:sz w:val="18"/>
          <w:szCs w:val="18"/>
          <w:lang w:eastAsia="en-AU"/>
        </w:rPr>
      </w:pPr>
      <w:r w:rsidRPr="009C45F9">
        <w:rPr>
          <w:rFonts w:ascii="Verdana" w:hAnsi="Verdana" w:cs="DIN-Light"/>
          <w:sz w:val="18"/>
          <w:szCs w:val="18"/>
          <w:lang w:eastAsia="en-AU"/>
        </w:rPr>
        <w:t xml:space="preserve">The Victorian Government receives funding for improvements to and maintenance of the National Land Transport Network under the </w:t>
      </w:r>
      <w:smartTag w:uri="urn:schemas-microsoft-com:office:smarttags" w:element="PlaceName">
        <w:r w:rsidRPr="009C45F9">
          <w:rPr>
            <w:rFonts w:ascii="Verdana" w:hAnsi="Verdana" w:cs="DIN-Light"/>
            <w:sz w:val="18"/>
            <w:szCs w:val="18"/>
            <w:lang w:eastAsia="en-AU"/>
          </w:rPr>
          <w:t>Federal</w:t>
        </w:r>
      </w:smartTag>
      <w:r w:rsidRPr="009C45F9">
        <w:rPr>
          <w:rFonts w:ascii="Verdana" w:hAnsi="Verdana" w:cs="DIN-Light"/>
          <w:sz w:val="18"/>
          <w:szCs w:val="18"/>
          <w:lang w:eastAsia="en-AU"/>
        </w:rPr>
        <w:t xml:space="preserve"> </w:t>
      </w:r>
      <w:smartTag w:uri="urn:schemas-microsoft-com:office:smarttags" w:element="PlaceName">
        <w:r w:rsidRPr="009C45F9">
          <w:rPr>
            <w:rFonts w:ascii="Verdana" w:hAnsi="Verdana" w:cs="DIN-Light"/>
            <w:i/>
            <w:sz w:val="18"/>
            <w:szCs w:val="18"/>
            <w:lang w:eastAsia="en-AU"/>
          </w:rPr>
          <w:t>Nation</w:t>
        </w:r>
      </w:smartTag>
      <w:r w:rsidRPr="009C45F9">
        <w:rPr>
          <w:rFonts w:ascii="Verdana" w:hAnsi="Verdana" w:cs="DIN-Light"/>
          <w:i/>
          <w:sz w:val="18"/>
          <w:szCs w:val="18"/>
          <w:lang w:eastAsia="en-AU"/>
        </w:rPr>
        <w:t xml:space="preserve"> </w:t>
      </w:r>
      <w:smartTag w:uri="urn:schemas-microsoft-com:office:smarttags" w:element="PlaceType">
        <w:r w:rsidRPr="009C45F9">
          <w:rPr>
            <w:rFonts w:ascii="Verdana" w:hAnsi="Verdana" w:cs="DIN-Light"/>
            <w:i/>
            <w:sz w:val="18"/>
            <w:szCs w:val="18"/>
            <w:lang w:eastAsia="en-AU"/>
          </w:rPr>
          <w:t>Building</w:t>
        </w:r>
      </w:smartTag>
      <w:r w:rsidRPr="009C45F9">
        <w:rPr>
          <w:rFonts w:ascii="Verdana" w:hAnsi="Verdana" w:cs="DIN-Light"/>
          <w:i/>
          <w:sz w:val="18"/>
          <w:szCs w:val="18"/>
          <w:lang w:eastAsia="en-AU"/>
        </w:rPr>
        <w:t xml:space="preserve"> Program (</w:t>
      </w:r>
      <w:smartTag w:uri="urn:schemas-microsoft-com:office:smarttags" w:element="place">
        <w:smartTag w:uri="urn:schemas-microsoft-com:office:smarttags" w:element="PlaceName">
          <w:r w:rsidRPr="009C45F9">
            <w:rPr>
              <w:rFonts w:ascii="Verdana" w:hAnsi="Verdana" w:cs="DIN-Light"/>
              <w:i/>
              <w:sz w:val="18"/>
              <w:szCs w:val="18"/>
              <w:lang w:eastAsia="en-AU"/>
            </w:rPr>
            <w:t>National</w:t>
          </w:r>
        </w:smartTag>
        <w:r w:rsidRPr="009C45F9">
          <w:rPr>
            <w:rFonts w:ascii="Verdana" w:hAnsi="Verdana" w:cs="DIN-Light"/>
            <w:i/>
            <w:sz w:val="18"/>
            <w:szCs w:val="18"/>
            <w:lang w:eastAsia="en-AU"/>
          </w:rPr>
          <w:t xml:space="preserve"> </w:t>
        </w:r>
        <w:smartTag w:uri="urn:schemas-microsoft-com:office:smarttags" w:element="PlaceType">
          <w:r w:rsidRPr="009C45F9">
            <w:rPr>
              <w:rFonts w:ascii="Verdana" w:hAnsi="Verdana" w:cs="DIN-Light"/>
              <w:i/>
              <w:sz w:val="18"/>
              <w:szCs w:val="18"/>
              <w:lang w:eastAsia="en-AU"/>
            </w:rPr>
            <w:t>Land</w:t>
          </w:r>
        </w:smartTag>
      </w:smartTag>
      <w:r w:rsidRPr="009C45F9">
        <w:rPr>
          <w:rFonts w:ascii="Verdana" w:hAnsi="Verdana" w:cs="DIN-Light"/>
          <w:i/>
          <w:sz w:val="18"/>
          <w:szCs w:val="18"/>
          <w:lang w:eastAsia="en-AU"/>
        </w:rPr>
        <w:t xml:space="preserve"> Transport) Act 2009</w:t>
      </w:r>
      <w:r w:rsidRPr="009C45F9">
        <w:rPr>
          <w:rFonts w:ascii="Verdana" w:hAnsi="Verdana" w:cs="DIN-Light"/>
          <w:sz w:val="18"/>
          <w:szCs w:val="18"/>
          <w:lang w:eastAsia="en-AU"/>
        </w:rPr>
        <w:t xml:space="preserve"> and the </w:t>
      </w:r>
      <w:smartTag w:uri="urn:schemas-microsoft-com:office:smarttags" w:element="Street">
        <w:smartTag w:uri="urn:schemas-microsoft-com:office:smarttags" w:element="address">
          <w:r w:rsidRPr="009C45F9">
            <w:rPr>
              <w:rFonts w:ascii="Verdana" w:hAnsi="Verdana" w:cs="DIN-Light"/>
              <w:sz w:val="18"/>
              <w:szCs w:val="18"/>
              <w:lang w:eastAsia="en-AU"/>
            </w:rPr>
            <w:t xml:space="preserve">Federal </w:t>
          </w:r>
          <w:r w:rsidRPr="009C45F9">
            <w:rPr>
              <w:rFonts w:ascii="Verdana" w:hAnsi="Verdana" w:cs="DIN-Light"/>
              <w:i/>
              <w:sz w:val="18"/>
              <w:szCs w:val="18"/>
              <w:lang w:eastAsia="en-AU"/>
            </w:rPr>
            <w:t>Interstate Road</w:t>
          </w:r>
        </w:smartTag>
      </w:smartTag>
      <w:r w:rsidRPr="009C45F9">
        <w:rPr>
          <w:rFonts w:ascii="Verdana" w:hAnsi="Verdana" w:cs="DIN-Light"/>
          <w:i/>
          <w:sz w:val="18"/>
          <w:szCs w:val="18"/>
          <w:lang w:eastAsia="en-AU"/>
        </w:rPr>
        <w:t xml:space="preserve"> Transport Act 1985.  </w:t>
      </w:r>
      <w:r w:rsidRPr="009C45F9">
        <w:rPr>
          <w:rFonts w:ascii="Verdana" w:hAnsi="Verdana" w:cs="DIN-Light"/>
          <w:sz w:val="18"/>
          <w:szCs w:val="18"/>
          <w:lang w:eastAsia="en-AU"/>
        </w:rPr>
        <w:t xml:space="preserve">This funding is forwarded to VicRoads as a grant to meet expenditure commitments. </w:t>
      </w:r>
    </w:p>
    <w:p w:rsidR="00BB07DE" w:rsidRPr="009C45F9" w:rsidRDefault="00BB07DE" w:rsidP="00BB07DE">
      <w:pPr>
        <w:autoSpaceDE w:val="0"/>
        <w:autoSpaceDN w:val="0"/>
        <w:adjustRightInd w:val="0"/>
        <w:jc w:val="both"/>
        <w:rPr>
          <w:rFonts w:ascii="Verdana" w:hAnsi="Verdana" w:cs="DIN-Light"/>
          <w:sz w:val="18"/>
          <w:szCs w:val="18"/>
          <w:lang w:eastAsia="en-AU"/>
        </w:rPr>
      </w:pPr>
    </w:p>
    <w:p w:rsidR="00BB07DE" w:rsidRPr="009C45F9" w:rsidRDefault="00BB07DE" w:rsidP="00BB07DE">
      <w:pPr>
        <w:autoSpaceDE w:val="0"/>
        <w:autoSpaceDN w:val="0"/>
        <w:adjustRightInd w:val="0"/>
        <w:jc w:val="both"/>
        <w:rPr>
          <w:rFonts w:ascii="Verdana" w:hAnsi="Verdana" w:cs="DIN-Light"/>
          <w:b/>
          <w:sz w:val="18"/>
          <w:szCs w:val="18"/>
          <w:lang w:eastAsia="en-AU"/>
        </w:rPr>
      </w:pPr>
      <w:r w:rsidRPr="009C45F9">
        <w:rPr>
          <w:rFonts w:ascii="Verdana" w:hAnsi="Verdana" w:cs="DIN-Light"/>
          <w:sz w:val="18"/>
          <w:szCs w:val="18"/>
          <w:lang w:eastAsia="en-AU"/>
        </w:rPr>
        <w:t xml:space="preserve">Victorian Government Grants of Federal funding to VicRoads in 2011-12 totalled $712.3 million, an increase of $228.1 million over the previous year.  The increase in funding was principally a result of the increased funding provided for major construction projects including the </w:t>
      </w:r>
      <w:smartTag w:uri="urn:schemas-microsoft-com:office:smarttags" w:element="Street">
        <w:smartTag w:uri="urn:schemas-microsoft-com:office:smarttags" w:element="address">
          <w:r w:rsidRPr="009C45F9">
            <w:rPr>
              <w:rFonts w:ascii="Verdana" w:hAnsi="Verdana" w:cs="DIN-Light"/>
              <w:sz w:val="18"/>
              <w:szCs w:val="18"/>
              <w:lang w:eastAsia="en-AU"/>
            </w:rPr>
            <w:t>M80 Ring Road</w:t>
          </w:r>
        </w:smartTag>
      </w:smartTag>
      <w:r w:rsidRPr="009C45F9">
        <w:rPr>
          <w:rFonts w:ascii="Verdana" w:hAnsi="Verdana" w:cs="DIN-Light"/>
          <w:sz w:val="18"/>
          <w:szCs w:val="18"/>
          <w:lang w:eastAsia="en-AU"/>
        </w:rPr>
        <w:t xml:space="preserve"> upgrade, </w:t>
      </w:r>
      <w:smartTag w:uri="urn:schemas-microsoft-com:office:smarttags" w:element="place">
        <w:smartTag w:uri="urn:schemas-microsoft-com:office:smarttags" w:element="PlaceName">
          <w:r w:rsidRPr="009C45F9">
            <w:rPr>
              <w:rFonts w:ascii="Verdana" w:hAnsi="Verdana" w:cs="DIN-Light"/>
              <w:sz w:val="18"/>
              <w:szCs w:val="18"/>
              <w:lang w:eastAsia="en-AU"/>
            </w:rPr>
            <w:t>West</w:t>
          </w:r>
        </w:smartTag>
        <w:r w:rsidRPr="009C45F9">
          <w:rPr>
            <w:rFonts w:ascii="Verdana" w:hAnsi="Verdana" w:cs="DIN-Light"/>
            <w:sz w:val="18"/>
            <w:szCs w:val="18"/>
            <w:lang w:eastAsia="en-AU"/>
          </w:rPr>
          <w:t xml:space="preserve"> </w:t>
        </w:r>
        <w:smartTag w:uri="urn:schemas-microsoft-com:office:smarttags" w:element="PlaceName">
          <w:r w:rsidRPr="009C45F9">
            <w:rPr>
              <w:rFonts w:ascii="Verdana" w:hAnsi="Verdana" w:cs="DIN-Light"/>
              <w:sz w:val="18"/>
              <w:szCs w:val="18"/>
              <w:lang w:eastAsia="en-AU"/>
            </w:rPr>
            <w:t>Gate</w:t>
          </w:r>
        </w:smartTag>
        <w:r w:rsidRPr="009C45F9">
          <w:rPr>
            <w:rFonts w:ascii="Verdana" w:hAnsi="Verdana" w:cs="DIN-Light"/>
            <w:sz w:val="18"/>
            <w:szCs w:val="18"/>
            <w:lang w:eastAsia="en-AU"/>
          </w:rPr>
          <w:t xml:space="preserve"> </w:t>
        </w:r>
        <w:smartTag w:uri="urn:schemas-microsoft-com:office:smarttags" w:element="PlaceType">
          <w:r w:rsidRPr="009C45F9">
            <w:rPr>
              <w:rFonts w:ascii="Verdana" w:hAnsi="Verdana" w:cs="DIN-Light"/>
              <w:sz w:val="18"/>
              <w:szCs w:val="18"/>
              <w:lang w:eastAsia="en-AU"/>
            </w:rPr>
            <w:t>Bridge</w:t>
          </w:r>
        </w:smartTag>
      </w:smartTag>
      <w:r w:rsidRPr="009C45F9">
        <w:rPr>
          <w:rFonts w:ascii="Verdana" w:hAnsi="Verdana" w:cs="DIN-Light"/>
          <w:sz w:val="18"/>
          <w:szCs w:val="18"/>
          <w:lang w:eastAsia="en-AU"/>
        </w:rPr>
        <w:t xml:space="preserve"> strengthening, and </w:t>
      </w:r>
      <w:smartTag w:uri="urn:schemas-microsoft-com:office:smarttags" w:element="Street">
        <w:smartTag w:uri="urn:schemas-microsoft-com:office:smarttags" w:element="address">
          <w:r w:rsidRPr="009C45F9">
            <w:rPr>
              <w:rFonts w:ascii="Verdana" w:hAnsi="Verdana" w:cs="DIN-Light"/>
              <w:sz w:val="18"/>
              <w:szCs w:val="18"/>
              <w:lang w:eastAsia="en-AU"/>
            </w:rPr>
            <w:t>Geelong Ring Road</w:t>
          </w:r>
        </w:smartTag>
      </w:smartTag>
      <w:r w:rsidRPr="009C45F9">
        <w:rPr>
          <w:rFonts w:ascii="Verdana" w:hAnsi="Verdana" w:cs="DIN-Light"/>
          <w:sz w:val="18"/>
          <w:szCs w:val="18"/>
          <w:lang w:eastAsia="en-AU"/>
        </w:rPr>
        <w:t xml:space="preserve"> section 4B.</w:t>
      </w:r>
    </w:p>
    <w:p w:rsidR="00BB07DE" w:rsidRPr="009C45F9" w:rsidRDefault="00BB07DE" w:rsidP="00BB07DE">
      <w:pPr>
        <w:autoSpaceDE w:val="0"/>
        <w:autoSpaceDN w:val="0"/>
        <w:adjustRightInd w:val="0"/>
        <w:jc w:val="both"/>
        <w:rPr>
          <w:rFonts w:ascii="Verdana" w:hAnsi="Verdana" w:cs="DIN-Light"/>
          <w:b/>
          <w:sz w:val="18"/>
          <w:szCs w:val="18"/>
          <w:lang w:eastAsia="en-AU"/>
        </w:rPr>
      </w:pPr>
    </w:p>
    <w:p w:rsidR="00BB07DE" w:rsidRPr="009C45F9" w:rsidRDefault="00BB07DE" w:rsidP="00BB07DE">
      <w:pPr>
        <w:autoSpaceDE w:val="0"/>
        <w:autoSpaceDN w:val="0"/>
        <w:adjustRightInd w:val="0"/>
        <w:jc w:val="both"/>
        <w:rPr>
          <w:rFonts w:ascii="Verdana" w:hAnsi="Verdana" w:cs="DIN-Light"/>
          <w:sz w:val="18"/>
          <w:szCs w:val="18"/>
          <w:lang w:eastAsia="en-AU"/>
        </w:rPr>
      </w:pPr>
      <w:r w:rsidRPr="009C45F9">
        <w:rPr>
          <w:rFonts w:ascii="Verdana" w:hAnsi="Verdana" w:cs="DIN-Light"/>
          <w:sz w:val="18"/>
          <w:szCs w:val="18"/>
          <w:lang w:eastAsia="en-AU"/>
        </w:rPr>
        <w:t>In 2011-12, VicRoads earned Victorian Government Grants comprising General Appropriations and Better Roads Victoria Trust Account funding totalling $892.0 million, a decrease of $288.3 million on the previous year.  This decrease was principally due to a reduction in capital appropriations as related capital projects reach completion.</w:t>
      </w:r>
    </w:p>
    <w:p w:rsidR="00BB07DE" w:rsidRPr="009C45F9" w:rsidRDefault="00BB07DE" w:rsidP="00BB07DE">
      <w:pPr>
        <w:autoSpaceDE w:val="0"/>
        <w:autoSpaceDN w:val="0"/>
        <w:adjustRightInd w:val="0"/>
        <w:jc w:val="both"/>
        <w:rPr>
          <w:rFonts w:ascii="Verdana" w:hAnsi="Verdana" w:cs="DIN-Light"/>
          <w:sz w:val="18"/>
          <w:szCs w:val="18"/>
          <w:lang w:eastAsia="en-AU"/>
        </w:rPr>
      </w:pPr>
    </w:p>
    <w:p w:rsidR="00BB07DE" w:rsidRPr="009C45F9" w:rsidRDefault="00BB07DE" w:rsidP="00BB07DE">
      <w:pPr>
        <w:autoSpaceDE w:val="0"/>
        <w:autoSpaceDN w:val="0"/>
        <w:adjustRightInd w:val="0"/>
        <w:jc w:val="both"/>
        <w:rPr>
          <w:rFonts w:ascii="Verdana" w:hAnsi="Verdana" w:cs="DIN-Light"/>
          <w:sz w:val="18"/>
          <w:szCs w:val="18"/>
          <w:lang w:eastAsia="en-AU"/>
        </w:rPr>
      </w:pPr>
      <w:r w:rsidRPr="009C45F9">
        <w:rPr>
          <w:rFonts w:ascii="Verdana" w:hAnsi="Verdana" w:cs="DIN-Light"/>
          <w:sz w:val="18"/>
          <w:szCs w:val="18"/>
          <w:lang w:eastAsia="en-AU"/>
        </w:rPr>
        <w:t xml:space="preserve">The Victorian Government’s Better Roads Victoria Trust Account was established under the </w:t>
      </w:r>
      <w:r w:rsidRPr="009C45F9">
        <w:rPr>
          <w:rFonts w:ascii="Verdana" w:hAnsi="Verdana" w:cs="Frutiger-LightItalic"/>
          <w:i/>
          <w:iCs/>
          <w:sz w:val="18"/>
          <w:szCs w:val="18"/>
          <w:lang w:eastAsia="en-AU"/>
        </w:rPr>
        <w:t xml:space="preserve">Business Franchise (Protection Products) Act 1979.  </w:t>
      </w:r>
      <w:r w:rsidRPr="009C45F9">
        <w:rPr>
          <w:rFonts w:ascii="Verdana" w:hAnsi="Verdana" w:cs="DIN-Light"/>
          <w:sz w:val="18"/>
          <w:szCs w:val="18"/>
          <w:lang w:eastAsia="en-AU"/>
        </w:rPr>
        <w:t>The Act originally required a State levy on petrol and diesel fuel sales to be utilised to fund construction and maintenance of roads.  Following the abolition of this levy in August 1997, the Victorian Government has continued to make equivalent payments to the Trust Account, together with an indexed $17 per motor vehicle registration applicable from 1 July 2003.</w:t>
      </w:r>
    </w:p>
    <w:p w:rsidR="00BB07DE" w:rsidRPr="009C45F9" w:rsidRDefault="00BB07DE" w:rsidP="00BB07DE">
      <w:pPr>
        <w:autoSpaceDE w:val="0"/>
        <w:autoSpaceDN w:val="0"/>
        <w:adjustRightInd w:val="0"/>
        <w:jc w:val="both"/>
        <w:rPr>
          <w:rFonts w:ascii="Verdana" w:hAnsi="Verdana" w:cs="DIN-Light"/>
          <w:sz w:val="18"/>
          <w:szCs w:val="18"/>
          <w:lang w:eastAsia="en-AU"/>
        </w:rPr>
      </w:pPr>
    </w:p>
    <w:p w:rsidR="00BB07DE" w:rsidRPr="009C45F9" w:rsidRDefault="00BB07DE" w:rsidP="00BB07DE">
      <w:pPr>
        <w:autoSpaceDE w:val="0"/>
        <w:autoSpaceDN w:val="0"/>
        <w:adjustRightInd w:val="0"/>
        <w:jc w:val="both"/>
        <w:rPr>
          <w:rFonts w:ascii="Verdana" w:hAnsi="Verdana" w:cs="DIN-Light"/>
          <w:sz w:val="18"/>
          <w:szCs w:val="18"/>
          <w:lang w:eastAsia="en-AU"/>
        </w:rPr>
      </w:pPr>
      <w:r w:rsidRPr="009C45F9">
        <w:rPr>
          <w:rFonts w:ascii="Verdana" w:hAnsi="Verdana" w:cs="DIN-Light"/>
          <w:sz w:val="18"/>
          <w:szCs w:val="18"/>
          <w:lang w:eastAsia="en-AU"/>
        </w:rPr>
        <w:t xml:space="preserve">The funding of projects from the Better Roads Victoria Trust Account contributes to </w:t>
      </w:r>
      <w:smartTag w:uri="urn:schemas-microsoft-com:office:smarttags" w:element="State">
        <w:smartTag w:uri="urn:schemas-microsoft-com:office:smarttags" w:element="place">
          <w:r w:rsidRPr="009C45F9">
            <w:rPr>
              <w:rFonts w:ascii="Verdana" w:hAnsi="Verdana" w:cs="DIN-Light"/>
              <w:sz w:val="18"/>
              <w:szCs w:val="18"/>
              <w:lang w:eastAsia="en-AU"/>
            </w:rPr>
            <w:t>Victoria</w:t>
          </w:r>
        </w:smartTag>
      </w:smartTag>
      <w:r w:rsidRPr="009C45F9">
        <w:rPr>
          <w:rFonts w:ascii="Verdana" w:hAnsi="Verdana" w:cs="DIN-Light"/>
          <w:sz w:val="18"/>
          <w:szCs w:val="18"/>
          <w:lang w:eastAsia="en-AU"/>
        </w:rPr>
        <w:t xml:space="preserve">’s economic development through reduced transport costs and increased efficiency of arterial roads.  Two thirds of funding from the Trust Account is directed to metropolitan roads projects and one third to rural road projects.  </w:t>
      </w:r>
      <w:r w:rsidRPr="009C45F9">
        <w:rPr>
          <w:rFonts w:ascii="Verdana" w:hAnsi="Verdana" w:cs="Helv"/>
          <w:sz w:val="18"/>
          <w:szCs w:val="18"/>
          <w:lang w:eastAsia="en-AU"/>
        </w:rPr>
        <w:t xml:space="preserve">Since the Better Roads Victoria Trust Account was established in 1993, 2,096 road infrastructure projects (comprising 463 projects in the metropolitan area and 1,633 in regional </w:t>
      </w:r>
      <w:smartTag w:uri="urn:schemas-microsoft-com:office:smarttags" w:element="State">
        <w:smartTag w:uri="urn:schemas-microsoft-com:office:smarttags" w:element="place">
          <w:r w:rsidRPr="009C45F9">
            <w:rPr>
              <w:rFonts w:ascii="Verdana" w:hAnsi="Verdana" w:cs="Helv"/>
              <w:sz w:val="18"/>
              <w:szCs w:val="18"/>
              <w:lang w:eastAsia="en-AU"/>
            </w:rPr>
            <w:t>Victoria</w:t>
          </w:r>
        </w:smartTag>
      </w:smartTag>
      <w:r w:rsidRPr="009C45F9">
        <w:rPr>
          <w:rFonts w:ascii="Verdana" w:hAnsi="Verdana" w:cs="Helv"/>
          <w:sz w:val="18"/>
          <w:szCs w:val="18"/>
          <w:lang w:eastAsia="en-AU"/>
        </w:rPr>
        <w:t xml:space="preserve">) valued at more than $5.3 billion have been approved.  </w:t>
      </w:r>
      <w:r w:rsidRPr="009C45F9">
        <w:rPr>
          <w:rFonts w:ascii="Verdana" w:hAnsi="Verdana" w:cs="DIN-Light"/>
          <w:sz w:val="18"/>
          <w:szCs w:val="18"/>
          <w:lang w:eastAsia="en-AU"/>
        </w:rPr>
        <w:t xml:space="preserve">The Better Roads Victoria Trust Account provided funding for road construction and maintenance projects of $243.5 million in 2011-12, a decrease of $77.9 </w:t>
      </w:r>
      <w:r w:rsidRPr="009C45F9">
        <w:rPr>
          <w:rFonts w:ascii="Verdana" w:hAnsi="Verdana" w:cs="DIN-Light"/>
          <w:sz w:val="18"/>
          <w:szCs w:val="18"/>
          <w:lang w:eastAsia="en-AU"/>
        </w:rPr>
        <w:lastRenderedPageBreak/>
        <w:t>million on the previous year. This is primarily due to the completion of major road construction projects and acceleration of Federal Government funding for road construction projects ahead of State Government funding.</w:t>
      </w:r>
    </w:p>
    <w:p w:rsidR="00BB07DE" w:rsidRPr="009C45F9" w:rsidRDefault="00BB07DE" w:rsidP="00BB07DE">
      <w:pPr>
        <w:autoSpaceDE w:val="0"/>
        <w:autoSpaceDN w:val="0"/>
        <w:adjustRightInd w:val="0"/>
        <w:jc w:val="both"/>
        <w:rPr>
          <w:rFonts w:ascii="Verdana" w:hAnsi="Verdana" w:cs="DIN-Light"/>
          <w:sz w:val="18"/>
          <w:szCs w:val="18"/>
          <w:lang w:eastAsia="en-AU"/>
        </w:rPr>
      </w:pPr>
    </w:p>
    <w:p w:rsidR="00BB07DE" w:rsidRPr="009C45F9" w:rsidRDefault="00BB07DE" w:rsidP="00BB07DE">
      <w:pPr>
        <w:autoSpaceDE w:val="0"/>
        <w:autoSpaceDN w:val="0"/>
        <w:adjustRightInd w:val="0"/>
        <w:jc w:val="both"/>
        <w:rPr>
          <w:rFonts w:ascii="Verdana" w:hAnsi="Verdana" w:cs="DIN-Light"/>
          <w:sz w:val="18"/>
          <w:szCs w:val="18"/>
          <w:lang w:eastAsia="en-AU"/>
        </w:rPr>
      </w:pPr>
      <w:r w:rsidRPr="009C45F9">
        <w:rPr>
          <w:rFonts w:ascii="Verdana" w:hAnsi="Verdana" w:cs="DIN-Light"/>
          <w:sz w:val="18"/>
          <w:szCs w:val="18"/>
          <w:lang w:eastAsia="en-AU"/>
        </w:rPr>
        <w:t>From 1 July 2005, revenue raised from traffic cameras and on the spot speeding fines has also been paid into the Better Roads Victoria Trust Account and utilised to fund road construction and maintenance, road safety, and traffic and transport integration programs.  VicRoads received traffic camera and speeding fine funding of $309.9 million during 2011-12.</w:t>
      </w:r>
    </w:p>
    <w:p w:rsidR="00BB07DE" w:rsidRPr="009C45F9" w:rsidRDefault="00BB07DE" w:rsidP="00BB07DE">
      <w:pPr>
        <w:autoSpaceDE w:val="0"/>
        <w:autoSpaceDN w:val="0"/>
        <w:adjustRightInd w:val="0"/>
        <w:jc w:val="both"/>
        <w:rPr>
          <w:rFonts w:ascii="Verdana" w:hAnsi="Verdana" w:cs="DIN-Light"/>
          <w:sz w:val="18"/>
          <w:szCs w:val="18"/>
          <w:lang w:eastAsia="en-AU"/>
        </w:rPr>
      </w:pPr>
    </w:p>
    <w:p w:rsidR="00BB07DE" w:rsidRPr="009C45F9" w:rsidRDefault="00BB07DE" w:rsidP="00BB07DE">
      <w:pPr>
        <w:autoSpaceDE w:val="0"/>
        <w:autoSpaceDN w:val="0"/>
        <w:adjustRightInd w:val="0"/>
        <w:jc w:val="both"/>
        <w:rPr>
          <w:rFonts w:ascii="Verdana" w:hAnsi="Verdana" w:cs="DIN-Light"/>
          <w:sz w:val="18"/>
          <w:szCs w:val="18"/>
          <w:lang w:eastAsia="en-AU"/>
        </w:rPr>
      </w:pPr>
      <w:r w:rsidRPr="009C45F9">
        <w:rPr>
          <w:rFonts w:ascii="Verdana" w:hAnsi="Verdana" w:cs="DIN-Light"/>
          <w:sz w:val="18"/>
          <w:szCs w:val="18"/>
          <w:lang w:eastAsia="en-AU"/>
        </w:rPr>
        <w:t>VicRoads generated revenue from regulatory fees, fee for service charges, and other revenue totalling $271.2 million in 2011-12, an increase of $30.2 million on the previous year.  This is primarily as a result of insurance recovery for flood restoration works.</w:t>
      </w:r>
    </w:p>
    <w:p w:rsidR="00BB07DE" w:rsidRPr="009C45F9" w:rsidRDefault="00BB07DE" w:rsidP="00BB07DE">
      <w:pPr>
        <w:autoSpaceDE w:val="0"/>
        <w:autoSpaceDN w:val="0"/>
        <w:adjustRightInd w:val="0"/>
        <w:jc w:val="both"/>
        <w:rPr>
          <w:rFonts w:ascii="Verdana" w:hAnsi="Verdana" w:cs="DIN-Light"/>
          <w:sz w:val="18"/>
          <w:szCs w:val="18"/>
          <w:lang w:eastAsia="en-AU"/>
        </w:rPr>
      </w:pPr>
    </w:p>
    <w:p w:rsidR="00BB07DE" w:rsidRPr="009C45F9" w:rsidRDefault="00BB07DE" w:rsidP="00BB07DE">
      <w:pPr>
        <w:autoSpaceDE w:val="0"/>
        <w:autoSpaceDN w:val="0"/>
        <w:adjustRightInd w:val="0"/>
        <w:jc w:val="both"/>
        <w:rPr>
          <w:rFonts w:ascii="Verdana" w:hAnsi="Verdana" w:cs="DIN-Light"/>
          <w:sz w:val="18"/>
          <w:szCs w:val="18"/>
          <w:lang w:eastAsia="en-AU"/>
        </w:rPr>
      </w:pPr>
      <w:r w:rsidRPr="009C45F9">
        <w:rPr>
          <w:rFonts w:ascii="Verdana" w:hAnsi="Verdana" w:cs="DIN-Light"/>
          <w:sz w:val="18"/>
          <w:szCs w:val="18"/>
          <w:lang w:eastAsia="en-AU"/>
        </w:rPr>
        <w:t xml:space="preserve">The Transport Accident Commission provides funding for a range of road safety infrastructure projects and motorcycle safety initiatives.  During 2011-12 this funding amounted to $101.8 million, a decrease of $11.1 million on the previous year.  </w:t>
      </w:r>
    </w:p>
    <w:p w:rsidR="00BB07DE" w:rsidRPr="00926D9C" w:rsidRDefault="00BB07DE" w:rsidP="00BB07DE">
      <w:pPr>
        <w:pStyle w:val="Heading1"/>
        <w:rPr>
          <w:rFonts w:ascii="Verdana" w:hAnsi="Verdana"/>
          <w:sz w:val="20"/>
          <w:szCs w:val="20"/>
        </w:rPr>
      </w:pPr>
      <w:r w:rsidRPr="00926D9C">
        <w:rPr>
          <w:rFonts w:ascii="Verdana" w:hAnsi="Verdana"/>
          <w:sz w:val="20"/>
          <w:szCs w:val="20"/>
        </w:rPr>
        <w:t>CAPITAL WORKS EXPENDITURE</w:t>
      </w:r>
    </w:p>
    <w:p w:rsidR="00BB07DE" w:rsidRPr="009C45F9" w:rsidRDefault="00BB07DE" w:rsidP="00BB07DE">
      <w:pPr>
        <w:autoSpaceDE w:val="0"/>
        <w:autoSpaceDN w:val="0"/>
        <w:adjustRightInd w:val="0"/>
        <w:jc w:val="both"/>
        <w:rPr>
          <w:rFonts w:ascii="Verdana" w:hAnsi="Verdana" w:cs="DIN-Bold"/>
          <w:b/>
          <w:bCs/>
          <w:sz w:val="22"/>
          <w:szCs w:val="22"/>
          <w:lang w:eastAsia="en-AU"/>
        </w:rPr>
      </w:pPr>
    </w:p>
    <w:p w:rsidR="00BB07DE" w:rsidRPr="009C45F9" w:rsidRDefault="00BB07DE" w:rsidP="00BB07DE">
      <w:pPr>
        <w:autoSpaceDE w:val="0"/>
        <w:autoSpaceDN w:val="0"/>
        <w:adjustRightInd w:val="0"/>
        <w:jc w:val="both"/>
        <w:rPr>
          <w:rFonts w:ascii="Verdana" w:hAnsi="Verdana" w:cs="DIN-Bold"/>
          <w:b/>
          <w:bCs/>
          <w:sz w:val="22"/>
          <w:szCs w:val="22"/>
          <w:lang w:eastAsia="en-AU"/>
        </w:rPr>
      </w:pPr>
      <w:r w:rsidRPr="009C45F9">
        <w:rPr>
          <w:rFonts w:ascii="Verdana" w:hAnsi="Verdana" w:cs="DIN-Light"/>
          <w:sz w:val="18"/>
          <w:szCs w:val="18"/>
          <w:lang w:eastAsia="en-AU"/>
        </w:rPr>
        <w:t>VicRoads undertook asset construction works and acquisitions totalling $918.5 million during 2011-12, a decrease of $126.9 million over the previous year.  Details of significant capital works projects undertaken during 2011-12 are outlined in the ‘Connection’ section of this report.</w:t>
      </w:r>
    </w:p>
    <w:p w:rsidR="00BB07DE" w:rsidRPr="00926D9C" w:rsidRDefault="00BB07DE" w:rsidP="00BB07DE">
      <w:pPr>
        <w:pStyle w:val="Heading1"/>
        <w:rPr>
          <w:rFonts w:ascii="Verdana" w:hAnsi="Verdana"/>
          <w:sz w:val="20"/>
          <w:szCs w:val="20"/>
        </w:rPr>
      </w:pPr>
      <w:r w:rsidRPr="00926D9C">
        <w:rPr>
          <w:rFonts w:ascii="Verdana" w:hAnsi="Verdana"/>
          <w:sz w:val="20"/>
          <w:szCs w:val="20"/>
        </w:rPr>
        <w:t xml:space="preserve">CASH FLOWS </w:t>
      </w:r>
    </w:p>
    <w:p w:rsidR="00BB07DE" w:rsidRPr="009C45F9" w:rsidRDefault="00BB07DE" w:rsidP="00BB07DE">
      <w:pPr>
        <w:autoSpaceDE w:val="0"/>
        <w:autoSpaceDN w:val="0"/>
        <w:adjustRightInd w:val="0"/>
        <w:jc w:val="both"/>
        <w:rPr>
          <w:rFonts w:ascii="Verdana" w:hAnsi="Verdana" w:cs="DIN-Bold"/>
          <w:b/>
          <w:bCs/>
          <w:sz w:val="22"/>
          <w:szCs w:val="22"/>
          <w:lang w:eastAsia="en-AU"/>
        </w:rPr>
      </w:pPr>
    </w:p>
    <w:p w:rsidR="00BB07DE" w:rsidRPr="009C45F9" w:rsidRDefault="00BB07DE" w:rsidP="00BB07DE">
      <w:pPr>
        <w:autoSpaceDE w:val="0"/>
        <w:autoSpaceDN w:val="0"/>
        <w:adjustRightInd w:val="0"/>
        <w:jc w:val="both"/>
        <w:rPr>
          <w:rFonts w:ascii="Verdana" w:hAnsi="Verdana" w:cs="DIN-Bold"/>
          <w:b/>
          <w:bCs/>
          <w:sz w:val="22"/>
          <w:szCs w:val="22"/>
          <w:lang w:eastAsia="en-AU"/>
        </w:rPr>
      </w:pPr>
      <w:r w:rsidRPr="009C45F9">
        <w:rPr>
          <w:rFonts w:ascii="Verdana" w:hAnsi="Verdana" w:cs="DIN-Light"/>
          <w:sz w:val="18"/>
          <w:szCs w:val="18"/>
          <w:lang w:eastAsia="en-AU"/>
        </w:rPr>
        <w:t>During 2011-12 VicRoads utilised cash funds received from the Victorian Government, collections of revenue and proceeds from asset disposals totalling $2.1 billion to fund operating activities totalling $1.2 billion and capital works activities totalling $0.9 billion.</w:t>
      </w:r>
    </w:p>
    <w:p w:rsidR="00BB07DE" w:rsidRPr="00926D9C" w:rsidRDefault="00BB07DE" w:rsidP="00BB07DE">
      <w:pPr>
        <w:pStyle w:val="Heading1"/>
        <w:rPr>
          <w:rFonts w:ascii="Verdana" w:hAnsi="Verdana"/>
          <w:sz w:val="20"/>
          <w:szCs w:val="20"/>
        </w:rPr>
      </w:pPr>
      <w:r w:rsidRPr="00926D9C">
        <w:rPr>
          <w:rFonts w:ascii="Verdana" w:hAnsi="Verdana"/>
          <w:sz w:val="20"/>
          <w:szCs w:val="20"/>
        </w:rPr>
        <w:t>FINANCIAL POSITION</w:t>
      </w:r>
    </w:p>
    <w:p w:rsidR="00BB07DE" w:rsidRPr="009C45F9" w:rsidRDefault="00BB07DE" w:rsidP="00BB07DE">
      <w:pPr>
        <w:autoSpaceDE w:val="0"/>
        <w:autoSpaceDN w:val="0"/>
        <w:adjustRightInd w:val="0"/>
        <w:jc w:val="both"/>
        <w:rPr>
          <w:rFonts w:ascii="Verdana" w:hAnsi="Verdana" w:cs="DIN-Bold"/>
          <w:b/>
          <w:bCs/>
          <w:sz w:val="22"/>
          <w:szCs w:val="22"/>
          <w:lang w:eastAsia="en-AU"/>
        </w:rPr>
      </w:pPr>
    </w:p>
    <w:p w:rsidR="00BB07DE" w:rsidRPr="009C45F9" w:rsidRDefault="00BB07DE" w:rsidP="00BB07DE">
      <w:pPr>
        <w:jc w:val="both"/>
        <w:rPr>
          <w:rFonts w:ascii="Verdana" w:hAnsi="Verdana" w:cs="DIN-Light"/>
          <w:sz w:val="18"/>
          <w:szCs w:val="18"/>
          <w:lang w:eastAsia="en-AU"/>
        </w:rPr>
      </w:pPr>
      <w:proofErr w:type="gramStart"/>
      <w:r w:rsidRPr="009C45F9">
        <w:rPr>
          <w:rFonts w:ascii="Verdana" w:hAnsi="Verdana" w:cs="DIN-Light"/>
          <w:sz w:val="18"/>
          <w:szCs w:val="18"/>
          <w:lang w:eastAsia="en-AU"/>
        </w:rPr>
        <w:t>VicRoads non-financial assets increased by $2.7 billion to $44.7 billion during 2011-12.</w:t>
      </w:r>
      <w:proofErr w:type="gramEnd"/>
      <w:r w:rsidRPr="009C45F9">
        <w:rPr>
          <w:rFonts w:ascii="Verdana" w:hAnsi="Verdana" w:cs="DIN-Light"/>
          <w:sz w:val="18"/>
          <w:szCs w:val="18"/>
          <w:lang w:eastAsia="en-AU"/>
        </w:rPr>
        <w:t xml:space="preserve">  This increase resulted from an upward revaluation of infrastructure assets of $2.3 billion, and asset construction and acquisitions of $0.9 billion.  These increases were partially offset by the depreciation of assets amounting to $0.5 billion.</w:t>
      </w:r>
    </w:p>
    <w:p w:rsidR="00BB07DE" w:rsidRPr="009C45F9" w:rsidRDefault="00BB07DE" w:rsidP="00BB07DE">
      <w:pPr>
        <w:jc w:val="both"/>
        <w:rPr>
          <w:rFonts w:ascii="Verdana" w:hAnsi="Verdana" w:cs="DIN-Light"/>
          <w:sz w:val="18"/>
          <w:szCs w:val="18"/>
          <w:lang w:eastAsia="en-AU"/>
        </w:rPr>
      </w:pPr>
    </w:p>
    <w:p w:rsidR="00BB07DE" w:rsidRPr="009C45F9" w:rsidRDefault="00BB07DE" w:rsidP="00BB07DE">
      <w:pPr>
        <w:jc w:val="both"/>
        <w:rPr>
          <w:rFonts w:ascii="Verdana" w:hAnsi="Verdana" w:cs="DIN-Light"/>
          <w:sz w:val="18"/>
          <w:szCs w:val="18"/>
          <w:lang w:eastAsia="en-AU"/>
        </w:rPr>
      </w:pPr>
      <w:r w:rsidRPr="009C45F9">
        <w:rPr>
          <w:rFonts w:ascii="Verdana" w:hAnsi="Verdana" w:cs="DIN-Light"/>
          <w:sz w:val="18"/>
          <w:szCs w:val="18"/>
          <w:lang w:eastAsia="en-AU"/>
        </w:rPr>
        <w:t>VicRoads financial assets increased by $58.5 million to $435.7 million during 2011-12 and total liabilities decreased by $17.8 million to $419.3 million during the year.</w:t>
      </w:r>
    </w:p>
    <w:p w:rsidR="00BB07DE" w:rsidRPr="009C45F9" w:rsidRDefault="00BB07DE" w:rsidP="00BB07DE">
      <w:pPr>
        <w:jc w:val="both"/>
        <w:rPr>
          <w:rFonts w:ascii="Verdana" w:hAnsi="Verdana" w:cs="DIN-Light"/>
          <w:sz w:val="18"/>
          <w:szCs w:val="18"/>
          <w:lang w:eastAsia="en-AU"/>
        </w:rPr>
      </w:pPr>
    </w:p>
    <w:p w:rsidR="00BB07DE" w:rsidRPr="009C45F9" w:rsidRDefault="00BB07DE" w:rsidP="00BB07DE">
      <w:pPr>
        <w:jc w:val="both"/>
        <w:rPr>
          <w:rFonts w:ascii="Verdana" w:hAnsi="Verdana"/>
        </w:rPr>
      </w:pPr>
      <w:r w:rsidRPr="009C45F9">
        <w:rPr>
          <w:rFonts w:ascii="Verdana" w:hAnsi="Verdana" w:cs="DIN-Light"/>
          <w:sz w:val="18"/>
          <w:szCs w:val="18"/>
          <w:lang w:eastAsia="en-AU"/>
        </w:rPr>
        <w:t xml:space="preserve">VicRoads net assets increased by $2.8 billion to $44.7 billion as at 30 June 2012.  This increase resulted principally from an upward revaluation of infrastructure assets of $2.3 billion, and the net result for the year of $0.5 billion. </w:t>
      </w:r>
    </w:p>
    <w:p w:rsidR="00BB07DE" w:rsidRPr="009C45F9" w:rsidRDefault="00BB07DE" w:rsidP="00BB07DE">
      <w:pPr>
        <w:autoSpaceDE w:val="0"/>
        <w:autoSpaceDN w:val="0"/>
        <w:adjustRightInd w:val="0"/>
        <w:ind w:left="45"/>
        <w:jc w:val="both"/>
        <w:rPr>
          <w:rFonts w:ascii="Verdana" w:hAnsi="Verdana" w:cs="DIN-Light"/>
          <w:sz w:val="18"/>
          <w:szCs w:val="18"/>
          <w:lang w:eastAsia="en-AU"/>
        </w:rPr>
      </w:pPr>
    </w:p>
    <w:p w:rsidR="00BB07DE" w:rsidRPr="00926D9C" w:rsidRDefault="00BB07DE" w:rsidP="00BB07DE">
      <w:pPr>
        <w:pStyle w:val="Heading1"/>
        <w:rPr>
          <w:rFonts w:ascii="Verdana" w:hAnsi="Verdana"/>
          <w:sz w:val="20"/>
          <w:szCs w:val="20"/>
        </w:rPr>
      </w:pPr>
      <w:r w:rsidRPr="00926D9C">
        <w:rPr>
          <w:rFonts w:ascii="Verdana" w:hAnsi="Verdana"/>
          <w:sz w:val="20"/>
          <w:szCs w:val="20"/>
        </w:rPr>
        <w:t>INCOME COLLECTED ON BEHALF OF THE VICTORIAN GOVERNMENT AND OTHER GOVERNMENT AGENCIES</w:t>
      </w:r>
    </w:p>
    <w:p w:rsidR="00BB07DE" w:rsidRPr="009C45F9" w:rsidRDefault="00BB07DE" w:rsidP="00BB07DE">
      <w:pPr>
        <w:autoSpaceDE w:val="0"/>
        <w:autoSpaceDN w:val="0"/>
        <w:adjustRightInd w:val="0"/>
        <w:jc w:val="both"/>
        <w:rPr>
          <w:rFonts w:ascii="Verdana" w:hAnsi="Verdana" w:cs="DIN-Bold"/>
          <w:b/>
          <w:bCs/>
          <w:sz w:val="22"/>
          <w:szCs w:val="22"/>
          <w:lang w:eastAsia="en-AU"/>
        </w:rPr>
      </w:pPr>
    </w:p>
    <w:p w:rsidR="00BB07DE" w:rsidRPr="009C45F9" w:rsidRDefault="00BB07DE" w:rsidP="00BB07DE">
      <w:pPr>
        <w:autoSpaceDE w:val="0"/>
        <w:autoSpaceDN w:val="0"/>
        <w:adjustRightInd w:val="0"/>
        <w:jc w:val="both"/>
        <w:rPr>
          <w:rFonts w:ascii="Verdana" w:hAnsi="Verdana"/>
        </w:rPr>
      </w:pPr>
      <w:r w:rsidRPr="009C45F9">
        <w:rPr>
          <w:rFonts w:ascii="Verdana" w:hAnsi="Verdana" w:cs="DIN-Light"/>
          <w:sz w:val="18"/>
          <w:szCs w:val="18"/>
          <w:lang w:eastAsia="en-AU"/>
        </w:rPr>
        <w:t>VicRoads administers the collection of certain fees, licences and duties on behalf of the Victorian Government, various State Government agencies, and the Commonwealth Department of Infrastructure and Transport.  These amounts are not recognised as VicRoads income but are paid to the Victorian Government’s Consolidated Fund or other government agencies.  During 2011-12, collections on behalf of the Victorian Government and other government agencies totalled $3.5 billion compared with $3.3 billion the previous year.</w:t>
      </w:r>
    </w:p>
    <w:p w:rsidR="00BB07DE" w:rsidRPr="00926D9C" w:rsidRDefault="00BB07DE" w:rsidP="00BB07DE">
      <w:pPr>
        <w:pStyle w:val="Heading1"/>
        <w:rPr>
          <w:rFonts w:ascii="Verdana" w:hAnsi="Verdana"/>
          <w:sz w:val="20"/>
          <w:szCs w:val="20"/>
        </w:rPr>
      </w:pPr>
      <w:smartTag w:uri="urn:schemas-microsoft-com:office:smarttags" w:element="City">
        <w:smartTag w:uri="urn:schemas-microsoft-com:office:smarttags" w:element="place">
          <w:r w:rsidRPr="00926D9C">
            <w:rPr>
              <w:rFonts w:ascii="Verdana" w:hAnsi="Verdana"/>
              <w:sz w:val="20"/>
              <w:szCs w:val="20"/>
            </w:rPr>
            <w:t>MELBOURNE</w:t>
          </w:r>
        </w:smartTag>
      </w:smartTag>
      <w:r w:rsidRPr="00926D9C">
        <w:rPr>
          <w:rFonts w:ascii="Verdana" w:hAnsi="Verdana"/>
          <w:sz w:val="20"/>
          <w:szCs w:val="20"/>
        </w:rPr>
        <w:t xml:space="preserve"> CITYLINK</w:t>
      </w:r>
    </w:p>
    <w:p w:rsidR="00BB07DE" w:rsidRPr="009C45F9" w:rsidRDefault="00BB07DE" w:rsidP="00BB07DE">
      <w:pPr>
        <w:jc w:val="both"/>
        <w:rPr>
          <w:rFonts w:ascii="Verdana" w:hAnsi="Verdana"/>
          <w:szCs w:val="24"/>
        </w:rPr>
      </w:pPr>
    </w:p>
    <w:p w:rsidR="00BB07DE" w:rsidRPr="009C45F9" w:rsidRDefault="00BB07DE" w:rsidP="00BB07DE">
      <w:pPr>
        <w:autoSpaceDE w:val="0"/>
        <w:autoSpaceDN w:val="0"/>
        <w:adjustRightInd w:val="0"/>
        <w:spacing w:line="240" w:lineRule="atLeast"/>
        <w:jc w:val="both"/>
        <w:rPr>
          <w:rFonts w:ascii="Verdana" w:hAnsi="Verdana" w:cs="DIN-Light"/>
          <w:color w:val="000000"/>
          <w:sz w:val="18"/>
          <w:szCs w:val="18"/>
        </w:rPr>
      </w:pPr>
      <w:r w:rsidRPr="009C45F9">
        <w:rPr>
          <w:rFonts w:ascii="Verdana" w:hAnsi="Verdana" w:cs="DIN-Light"/>
          <w:color w:val="000000"/>
          <w:sz w:val="18"/>
          <w:szCs w:val="18"/>
        </w:rPr>
        <w:t xml:space="preserve">VicRoads manages the administration of revenue, expenditure, assets and liabilities arising from the </w:t>
      </w:r>
      <w:smartTag w:uri="urn:schemas-microsoft-com:office:smarttags" w:element="place">
        <w:smartTag w:uri="urn:schemas-microsoft-com:office:smarttags" w:element="PlaceName">
          <w:r w:rsidRPr="009C45F9">
            <w:rPr>
              <w:rFonts w:ascii="Verdana" w:hAnsi="Verdana" w:cs="DIN-Light"/>
              <w:i/>
              <w:iCs/>
              <w:color w:val="000000"/>
              <w:sz w:val="18"/>
              <w:szCs w:val="18"/>
            </w:rPr>
            <w:t>Melbourne</w:t>
          </w:r>
        </w:smartTag>
        <w:r w:rsidRPr="009C45F9">
          <w:rPr>
            <w:rFonts w:ascii="Verdana" w:hAnsi="Verdana" w:cs="DIN-Light"/>
            <w:i/>
            <w:iCs/>
            <w:color w:val="000000"/>
            <w:sz w:val="18"/>
            <w:szCs w:val="18"/>
          </w:rPr>
          <w:t xml:space="preserve"> </w:t>
        </w:r>
        <w:smartTag w:uri="urn:schemas-microsoft-com:office:smarttags" w:element="PlaceType">
          <w:r w:rsidRPr="009C45F9">
            <w:rPr>
              <w:rFonts w:ascii="Verdana" w:hAnsi="Verdana" w:cs="DIN-Light"/>
              <w:i/>
              <w:iCs/>
              <w:color w:val="000000"/>
              <w:sz w:val="18"/>
              <w:szCs w:val="18"/>
            </w:rPr>
            <w:t>City</w:t>
          </w:r>
        </w:smartTag>
      </w:smartTag>
      <w:r w:rsidRPr="009C45F9">
        <w:rPr>
          <w:rFonts w:ascii="Verdana" w:hAnsi="Verdana" w:cs="DIN-Light"/>
          <w:i/>
          <w:iCs/>
          <w:color w:val="000000"/>
          <w:sz w:val="18"/>
          <w:szCs w:val="18"/>
        </w:rPr>
        <w:t xml:space="preserve"> Link Act 1995</w:t>
      </w:r>
      <w:r w:rsidRPr="009C45F9">
        <w:rPr>
          <w:rFonts w:ascii="Verdana" w:hAnsi="Verdana" w:cs="DIN-Light"/>
          <w:color w:val="000000"/>
          <w:sz w:val="18"/>
          <w:szCs w:val="18"/>
        </w:rPr>
        <w:t xml:space="preserve"> on behalf of the Victorian Government.  These items are not recognised as VicRoads revenue, expenditure, assets or liabilities.</w:t>
      </w:r>
    </w:p>
    <w:p w:rsidR="00BB07DE" w:rsidRPr="009C45F9" w:rsidRDefault="00BB07DE" w:rsidP="00BB07DE">
      <w:pPr>
        <w:jc w:val="both"/>
        <w:rPr>
          <w:rFonts w:ascii="Verdana" w:hAnsi="Verdana" w:cs="DIN-Light"/>
          <w:color w:val="000000"/>
          <w:sz w:val="18"/>
          <w:szCs w:val="18"/>
        </w:rPr>
      </w:pPr>
    </w:p>
    <w:p w:rsidR="00BB07DE" w:rsidRPr="009C45F9" w:rsidRDefault="00BB07DE" w:rsidP="00BB07DE">
      <w:pPr>
        <w:pStyle w:val="NormalDIN-Light"/>
        <w:rPr>
          <w:rFonts w:ascii="Verdana" w:hAnsi="Verdana"/>
        </w:rPr>
      </w:pPr>
      <w:r w:rsidRPr="009C45F9">
        <w:rPr>
          <w:rFonts w:ascii="Verdana" w:hAnsi="Verdana"/>
        </w:rPr>
        <w:t>Details of the concession notes and related revenues are disclosed in Note 1(r</w:t>
      </w:r>
      <w:proofErr w:type="gramStart"/>
      <w:r w:rsidRPr="009C45F9">
        <w:rPr>
          <w:rFonts w:ascii="Verdana" w:hAnsi="Verdana"/>
        </w:rPr>
        <w:t>)(</w:t>
      </w:r>
      <w:proofErr w:type="gramEnd"/>
      <w:r w:rsidRPr="009C45F9">
        <w:rPr>
          <w:rFonts w:ascii="Verdana" w:hAnsi="Verdana"/>
        </w:rPr>
        <w:t>ii) – ‘Melbourne City Link’ and Note 25 – ‘Transactions administered on behalf of the Victorian Government’.</w:t>
      </w:r>
    </w:p>
    <w:p w:rsidR="00BB07DE" w:rsidRPr="009C45F9" w:rsidRDefault="00BB07DE" w:rsidP="00BB07DE">
      <w:pPr>
        <w:rPr>
          <w:rFonts w:ascii="Verdana" w:hAnsi="Verdana"/>
        </w:rPr>
      </w:pPr>
    </w:p>
    <w:tbl>
      <w:tblPr>
        <w:tblW w:w="9463" w:type="dxa"/>
        <w:jc w:val="center"/>
        <w:tblLayout w:type="fixed"/>
        <w:tblLook w:val="01E0"/>
      </w:tblPr>
      <w:tblGrid>
        <w:gridCol w:w="4644"/>
        <w:gridCol w:w="957"/>
        <w:gridCol w:w="930"/>
        <w:gridCol w:w="1013"/>
        <w:gridCol w:w="992"/>
        <w:gridCol w:w="927"/>
      </w:tblGrid>
      <w:tr w:rsidR="00BB07DE" w:rsidRPr="009C45F9" w:rsidTr="00BB07DE">
        <w:trPr>
          <w:tblHeader/>
          <w:jc w:val="center"/>
        </w:trPr>
        <w:tc>
          <w:tcPr>
            <w:tcW w:w="9463" w:type="dxa"/>
            <w:gridSpan w:val="6"/>
            <w:tcBorders>
              <w:bottom w:val="single" w:sz="4" w:space="0" w:color="auto"/>
            </w:tcBorders>
          </w:tcPr>
          <w:p w:rsidR="00BB07DE" w:rsidRPr="007E0B54" w:rsidRDefault="00BB07DE" w:rsidP="00BB07DE">
            <w:pPr>
              <w:pStyle w:val="Heading1"/>
              <w:rPr>
                <w:rFonts w:ascii="Verdana" w:eastAsiaTheme="majorEastAsia" w:hAnsi="Verdana" w:cs="DIN-Bold"/>
                <w:b w:val="0"/>
                <w:bCs w:val="0"/>
                <w:sz w:val="20"/>
                <w:lang w:eastAsia="en-AU"/>
              </w:rPr>
            </w:pPr>
            <w:r w:rsidRPr="007E0B54">
              <w:rPr>
                <w:rFonts w:ascii="Verdana" w:eastAsiaTheme="majorEastAsia" w:hAnsi="Verdana" w:cstheme="majorBidi"/>
              </w:rPr>
              <w:br w:type="page"/>
            </w:r>
            <w:r w:rsidRPr="007E0B54">
              <w:rPr>
                <w:rFonts w:ascii="Verdana" w:eastAsiaTheme="majorEastAsia" w:hAnsi="Verdana" w:cs="DIN-Bold"/>
                <w:sz w:val="20"/>
                <w:lang w:eastAsia="en-AU"/>
              </w:rPr>
              <w:br w:type="page"/>
            </w:r>
            <w:r w:rsidRPr="007E0B54">
              <w:rPr>
                <w:rFonts w:ascii="Verdana" w:eastAsiaTheme="majorEastAsia" w:hAnsi="Verdana" w:cs="DIN-Bold"/>
                <w:sz w:val="20"/>
                <w:lang w:eastAsia="en-AU"/>
              </w:rPr>
              <w:br w:type="page"/>
            </w:r>
            <w:r w:rsidRPr="007E0B54">
              <w:rPr>
                <w:rFonts w:ascii="Verdana" w:eastAsiaTheme="majorEastAsia" w:hAnsi="Verdana" w:cs="DIN-Bold"/>
                <w:sz w:val="20"/>
                <w:lang w:eastAsia="en-AU"/>
              </w:rPr>
              <w:br w:type="page"/>
            </w:r>
            <w:r w:rsidRPr="007E0B54">
              <w:rPr>
                <w:rFonts w:ascii="Verdana" w:eastAsiaTheme="majorEastAsia" w:hAnsi="Verdana" w:cs="DIN-Bold"/>
                <w:sz w:val="20"/>
                <w:lang w:eastAsia="en-AU"/>
              </w:rPr>
              <w:br w:type="page"/>
            </w:r>
            <w:r w:rsidR="003F6C6C" w:rsidRPr="003F6C6C">
              <w:rPr>
                <w:rFonts w:ascii="Verdana" w:eastAsiaTheme="majorEastAsia" w:hAnsi="Verdana" w:cstheme="majorBidi"/>
                <w:sz w:val="20"/>
                <w:szCs w:val="20"/>
              </w:rPr>
              <w:pict>
                <v:line id="_x0000_s1371" style="position:absolute;z-index:251660288" from="0,-225pt" to="414pt,-225pt"/>
              </w:pict>
            </w:r>
            <w:r w:rsidRPr="007E0B54">
              <w:rPr>
                <w:rFonts w:ascii="Verdana" w:eastAsiaTheme="majorEastAsia" w:hAnsi="Verdana" w:cstheme="majorBidi"/>
                <w:sz w:val="20"/>
                <w:szCs w:val="20"/>
              </w:rPr>
              <w:t>FIVE YEAR FINANCIAL SUMMARY</w:t>
            </w:r>
          </w:p>
          <w:p w:rsidR="00BB07DE" w:rsidRPr="00BB07DE" w:rsidRDefault="00BB07DE" w:rsidP="00BB07DE">
            <w:pPr>
              <w:autoSpaceDE w:val="0"/>
              <w:autoSpaceDN w:val="0"/>
              <w:adjustRightInd w:val="0"/>
              <w:jc w:val="both"/>
              <w:rPr>
                <w:rFonts w:ascii="Verdana" w:hAnsi="Verdana" w:cs="DIN-Bold"/>
                <w:b/>
                <w:bCs/>
                <w:sz w:val="20"/>
                <w:lang w:eastAsia="en-AU"/>
              </w:rPr>
            </w:pP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1C2C30">
            <w:pPr>
              <w:rPr>
                <w:rFonts w:ascii="Verdana" w:hAnsi="Verdana"/>
                <w:b/>
                <w:sz w:val="18"/>
                <w:szCs w:val="18"/>
              </w:rPr>
            </w:pPr>
          </w:p>
          <w:p w:rsidR="00BB07DE" w:rsidRPr="00BB07DE" w:rsidRDefault="00BB07DE" w:rsidP="001C2C30">
            <w:pPr>
              <w:rPr>
                <w:rFonts w:ascii="Verdana" w:hAnsi="Verdana"/>
                <w:b/>
                <w:sz w:val="18"/>
                <w:szCs w:val="18"/>
              </w:rPr>
            </w:pPr>
            <w:r w:rsidRPr="00BB07DE">
              <w:rPr>
                <w:rFonts w:ascii="Verdana" w:hAnsi="Verdana"/>
                <w:b/>
                <w:sz w:val="18"/>
                <w:szCs w:val="18"/>
              </w:rPr>
              <w:t>YEAR ENDED 30 JUNE</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ind w:right="-78"/>
              <w:jc w:val="center"/>
              <w:rPr>
                <w:rFonts w:ascii="Verdana" w:hAnsi="Verdana"/>
                <w:b/>
                <w:sz w:val="18"/>
                <w:szCs w:val="18"/>
              </w:rPr>
            </w:pPr>
            <w:r w:rsidRPr="00BB07DE">
              <w:rPr>
                <w:rFonts w:ascii="Verdana" w:hAnsi="Verdana"/>
                <w:b/>
                <w:sz w:val="18"/>
                <w:szCs w:val="18"/>
              </w:rPr>
              <w:t>2012</w:t>
            </w:r>
          </w:p>
          <w:p w:rsidR="00BB07DE" w:rsidRPr="00BB07DE" w:rsidRDefault="00BB07DE" w:rsidP="00BB07DE">
            <w:pPr>
              <w:ind w:right="-79"/>
              <w:jc w:val="center"/>
              <w:rPr>
                <w:rFonts w:ascii="Verdana" w:hAnsi="Verdana"/>
                <w:b/>
                <w:sz w:val="18"/>
                <w:szCs w:val="18"/>
              </w:rPr>
            </w:pPr>
            <w:r w:rsidRPr="00BB07DE">
              <w:rPr>
                <w:rFonts w:ascii="Verdana" w:hAnsi="Verdana"/>
                <w:b/>
                <w:sz w:val="18"/>
                <w:szCs w:val="18"/>
              </w:rPr>
              <w:t>$m</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ind w:right="-78"/>
              <w:jc w:val="center"/>
              <w:rPr>
                <w:rFonts w:ascii="Verdana" w:hAnsi="Verdana"/>
                <w:b/>
                <w:sz w:val="18"/>
                <w:szCs w:val="18"/>
              </w:rPr>
            </w:pPr>
            <w:r w:rsidRPr="00BB07DE">
              <w:rPr>
                <w:rFonts w:ascii="Verdana" w:hAnsi="Verdana"/>
                <w:b/>
                <w:sz w:val="18"/>
                <w:szCs w:val="18"/>
              </w:rPr>
              <w:t>2011</w:t>
            </w:r>
          </w:p>
          <w:p w:rsidR="00BB07DE" w:rsidRPr="00BB07DE" w:rsidRDefault="00BB07DE" w:rsidP="00BB07DE">
            <w:pPr>
              <w:ind w:right="-79"/>
              <w:jc w:val="center"/>
              <w:rPr>
                <w:rFonts w:ascii="Verdana" w:hAnsi="Verdana"/>
                <w:b/>
                <w:sz w:val="18"/>
                <w:szCs w:val="18"/>
              </w:rPr>
            </w:pPr>
            <w:r w:rsidRPr="00BB07DE">
              <w:rPr>
                <w:rFonts w:ascii="Verdana" w:hAnsi="Verdana"/>
                <w:b/>
                <w:sz w:val="18"/>
                <w:szCs w:val="18"/>
              </w:rPr>
              <w:t>$m</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ind w:right="-78"/>
              <w:jc w:val="center"/>
              <w:rPr>
                <w:rFonts w:ascii="Verdana" w:hAnsi="Verdana"/>
                <w:b/>
                <w:sz w:val="18"/>
                <w:szCs w:val="18"/>
              </w:rPr>
            </w:pPr>
            <w:r w:rsidRPr="00BB07DE">
              <w:rPr>
                <w:rFonts w:ascii="Verdana" w:hAnsi="Verdana"/>
                <w:b/>
                <w:sz w:val="18"/>
                <w:szCs w:val="18"/>
              </w:rPr>
              <w:t>2010</w:t>
            </w:r>
          </w:p>
          <w:p w:rsidR="00BB07DE" w:rsidRPr="00BB07DE" w:rsidRDefault="00BB07DE" w:rsidP="00BB07DE">
            <w:pPr>
              <w:ind w:right="-79"/>
              <w:jc w:val="center"/>
              <w:rPr>
                <w:rFonts w:ascii="Verdana" w:hAnsi="Verdana"/>
                <w:b/>
                <w:sz w:val="18"/>
                <w:szCs w:val="18"/>
              </w:rPr>
            </w:pPr>
            <w:r w:rsidRPr="00BB07DE">
              <w:rPr>
                <w:rFonts w:ascii="Verdana" w:hAnsi="Verdana"/>
                <w:b/>
                <w:sz w:val="18"/>
                <w:szCs w:val="18"/>
              </w:rPr>
              <w:t>$m</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ind w:right="-78"/>
              <w:jc w:val="center"/>
              <w:rPr>
                <w:rFonts w:ascii="Verdana" w:hAnsi="Verdana"/>
                <w:b/>
                <w:sz w:val="18"/>
                <w:szCs w:val="18"/>
              </w:rPr>
            </w:pPr>
            <w:r w:rsidRPr="00BB07DE">
              <w:rPr>
                <w:rFonts w:ascii="Verdana" w:hAnsi="Verdana"/>
                <w:b/>
                <w:sz w:val="18"/>
                <w:szCs w:val="18"/>
              </w:rPr>
              <w:t>2009</w:t>
            </w:r>
          </w:p>
          <w:p w:rsidR="00BB07DE" w:rsidRPr="00BB07DE" w:rsidRDefault="00BB07DE" w:rsidP="00BB07DE">
            <w:pPr>
              <w:ind w:right="-79"/>
              <w:jc w:val="center"/>
              <w:rPr>
                <w:rFonts w:ascii="Verdana" w:hAnsi="Verdana"/>
                <w:b/>
                <w:sz w:val="18"/>
                <w:szCs w:val="18"/>
              </w:rPr>
            </w:pPr>
            <w:r w:rsidRPr="00BB07DE">
              <w:rPr>
                <w:rFonts w:ascii="Verdana" w:hAnsi="Verdana"/>
                <w:b/>
                <w:sz w:val="18"/>
                <w:szCs w:val="18"/>
              </w:rPr>
              <w:t>$m</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ind w:right="-78"/>
              <w:jc w:val="center"/>
              <w:rPr>
                <w:rFonts w:ascii="Verdana" w:hAnsi="Verdana"/>
                <w:b/>
                <w:sz w:val="18"/>
                <w:szCs w:val="18"/>
              </w:rPr>
            </w:pPr>
            <w:r w:rsidRPr="00BB07DE">
              <w:rPr>
                <w:rFonts w:ascii="Verdana" w:hAnsi="Verdana"/>
                <w:b/>
                <w:sz w:val="18"/>
                <w:szCs w:val="18"/>
              </w:rPr>
              <w:t>2008</w:t>
            </w:r>
          </w:p>
          <w:p w:rsidR="00BB07DE" w:rsidRPr="00BB07DE" w:rsidRDefault="00BB07DE" w:rsidP="00BB07DE">
            <w:pPr>
              <w:ind w:right="-79"/>
              <w:jc w:val="center"/>
              <w:rPr>
                <w:rFonts w:ascii="Verdana" w:hAnsi="Verdana"/>
                <w:b/>
                <w:sz w:val="18"/>
                <w:szCs w:val="18"/>
              </w:rPr>
            </w:pPr>
            <w:r w:rsidRPr="00BB07DE">
              <w:rPr>
                <w:rFonts w:ascii="Verdana" w:hAnsi="Verdana"/>
                <w:b/>
                <w:sz w:val="18"/>
                <w:szCs w:val="18"/>
              </w:rPr>
              <w:t>$m</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b/>
                <w:sz w:val="18"/>
                <w:szCs w:val="18"/>
              </w:rPr>
            </w:pPr>
            <w:r w:rsidRPr="00BB07DE">
              <w:rPr>
                <w:rFonts w:ascii="Verdana" w:hAnsi="Verdana"/>
                <w:b/>
                <w:sz w:val="18"/>
                <w:szCs w:val="18"/>
              </w:rPr>
              <w:t>FINANCIAL PERFORMANCE</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b/>
                <w:sz w:val="18"/>
                <w:szCs w:val="18"/>
              </w:rPr>
            </w:pP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b/>
                <w:sz w:val="18"/>
                <w:szCs w:val="18"/>
              </w:rPr>
            </w:pP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b/>
                <w:sz w:val="18"/>
                <w:szCs w:val="18"/>
              </w:rPr>
            </w:pP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399"/>
              </w:tabs>
              <w:rPr>
                <w:rFonts w:ascii="Verdana" w:hAnsi="Verdana"/>
                <w:b/>
                <w:sz w:val="18"/>
                <w:szCs w:val="18"/>
              </w:rPr>
            </w:pP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Income from transactions</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2,013.3</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1,709.2</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1,694.8</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1,414.7</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1,630.7</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Expenses from transactions</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1,521.6</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1,496.2</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1,420.3</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1,381.2</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1,312.6</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NET RESULT FROM TRANSACTIONS</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491.7</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213.0</w:t>
            </w:r>
          </w:p>
          <w:p w:rsidR="00BB07DE" w:rsidRPr="00BB07DE" w:rsidRDefault="00BB07DE" w:rsidP="00BB07DE">
            <w:pPr>
              <w:tabs>
                <w:tab w:val="decimal" w:pos="505"/>
              </w:tabs>
              <w:rPr>
                <w:rFonts w:ascii="Verdana" w:hAnsi="Verdana"/>
                <w:sz w:val="18"/>
                <w:szCs w:val="18"/>
              </w:rPr>
            </w:pP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274.5</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33.5</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318.1</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Other Economic Flows Included in Net Result</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7.8</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11.9</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(3.1)</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0.7</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(7.7)</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NET RESULT</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499.5</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224.9</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271.4</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34.2</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310.4</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Net change in asset revaluation reserve</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2,282.5</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(49.5)</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3,472.7</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2,567.4</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1C2C30">
            <w:pPr>
              <w:rPr>
                <w:rFonts w:ascii="Verdana" w:hAnsi="Verdana"/>
                <w:sz w:val="18"/>
                <w:szCs w:val="18"/>
              </w:rPr>
            </w:pPr>
            <w:r w:rsidRPr="00BB07DE">
              <w:rPr>
                <w:rFonts w:ascii="Verdana" w:hAnsi="Verdana"/>
                <w:sz w:val="18"/>
                <w:szCs w:val="18"/>
              </w:rPr>
              <w:t>COMPREHENSIVE RESULT</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2,782.0</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175.4</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3,744.1</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34.2</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2,877.8</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b/>
                <w:sz w:val="18"/>
                <w:szCs w:val="18"/>
              </w:rPr>
              <w:t>CASH FLOWS</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Cash flows from operating activities</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801.4</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706.8</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637.9</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486.3</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647.8</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Cash flows used in investing activities</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(884.2)</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(1,023.2)</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(1,086.3)</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(924.1)</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(809.1)</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Cash flows from financing activities</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82.0</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318.0</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448.4</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422.0</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178.4</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NET INCREASE/(DECREASE) IN CASH HELD</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(0.8)</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1.6</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(15.8)</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17.1</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103"/>
                <w:tab w:val="decimal" w:pos="5954"/>
                <w:tab w:val="decimal" w:pos="6917"/>
                <w:tab w:val="decimal" w:pos="7881"/>
                <w:tab w:val="decimal" w:pos="8789"/>
              </w:tabs>
              <w:jc w:val="both"/>
              <w:rPr>
                <w:rFonts w:ascii="Verdana" w:hAnsi="Verdana"/>
                <w:sz w:val="18"/>
                <w:szCs w:val="18"/>
              </w:rPr>
            </w:pPr>
            <w:r w:rsidRPr="00BB07DE">
              <w:rPr>
                <w:rFonts w:ascii="Verdana" w:hAnsi="Verdana"/>
                <w:b/>
                <w:sz w:val="18"/>
                <w:szCs w:val="18"/>
              </w:rPr>
              <w:t>CAPITAL WORKS</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TOTAL EXPENDITURE</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918.5</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1,045.4</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1,099.0</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908.5</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795.8</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b/>
                <w:sz w:val="18"/>
                <w:szCs w:val="18"/>
              </w:rPr>
            </w:pP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b/>
                <w:sz w:val="18"/>
                <w:szCs w:val="18"/>
              </w:rPr>
            </w:pPr>
            <w:r w:rsidRPr="00BB07DE">
              <w:rPr>
                <w:rFonts w:ascii="Verdana" w:hAnsi="Verdana"/>
                <w:b/>
                <w:sz w:val="18"/>
                <w:szCs w:val="18"/>
              </w:rPr>
              <w:t>FUNDING SOURCES</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1C2C30">
            <w:pPr>
              <w:rPr>
                <w:rFonts w:ascii="Verdana" w:hAnsi="Verdana"/>
                <w:sz w:val="18"/>
                <w:szCs w:val="18"/>
                <w:u w:val="single"/>
              </w:rPr>
            </w:pPr>
            <w:r w:rsidRPr="00BB07DE">
              <w:rPr>
                <w:rFonts w:ascii="Verdana" w:hAnsi="Verdana"/>
                <w:sz w:val="18"/>
                <w:szCs w:val="18"/>
                <w:u w:val="single"/>
              </w:rPr>
              <w:t>State Government Funding derived from the Federal Government</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Construction</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627.1</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400.2</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426.4</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215.9</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262.4</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right" w:pos="46"/>
                <w:tab w:val="right" w:pos="214"/>
              </w:tabs>
              <w:jc w:val="both"/>
              <w:rPr>
                <w:rFonts w:ascii="Verdana" w:hAnsi="Verdana"/>
                <w:sz w:val="18"/>
                <w:szCs w:val="18"/>
              </w:rPr>
            </w:pPr>
            <w:r w:rsidRPr="00BB07DE">
              <w:rPr>
                <w:rFonts w:ascii="Verdana" w:hAnsi="Verdana"/>
                <w:sz w:val="18"/>
                <w:szCs w:val="18"/>
              </w:rPr>
              <w:t>Asset Maintenance and minor works</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51.9</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50.7</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48.4</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58.7</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55.4</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Del="009E384C" w:rsidRDefault="00BB07DE" w:rsidP="00BB07DE">
            <w:pPr>
              <w:jc w:val="both"/>
              <w:rPr>
                <w:rFonts w:ascii="Verdana" w:hAnsi="Verdana"/>
                <w:sz w:val="18"/>
                <w:szCs w:val="18"/>
              </w:rPr>
            </w:pPr>
            <w:r w:rsidRPr="00BB07DE">
              <w:rPr>
                <w:rFonts w:ascii="Verdana" w:hAnsi="Verdana"/>
                <w:sz w:val="18"/>
                <w:szCs w:val="18"/>
              </w:rPr>
              <w:t xml:space="preserve">Federal Interstate Road Transport Scheme </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Del="008C3BF7" w:rsidRDefault="00BB07DE" w:rsidP="00BB07DE">
            <w:pPr>
              <w:tabs>
                <w:tab w:val="decimal" w:pos="505"/>
              </w:tabs>
              <w:rPr>
                <w:rFonts w:ascii="Verdana" w:hAnsi="Verdana"/>
                <w:sz w:val="18"/>
                <w:szCs w:val="18"/>
              </w:rPr>
            </w:pPr>
            <w:r w:rsidRPr="00BB07DE">
              <w:rPr>
                <w:rFonts w:ascii="Verdana" w:hAnsi="Verdana"/>
                <w:sz w:val="18"/>
                <w:szCs w:val="18"/>
              </w:rPr>
              <w:t>21.6</w:t>
            </w:r>
          </w:p>
        </w:tc>
        <w:tc>
          <w:tcPr>
            <w:tcW w:w="930" w:type="dxa"/>
            <w:tcBorders>
              <w:top w:val="single" w:sz="4" w:space="0" w:color="auto"/>
              <w:left w:val="single" w:sz="4" w:space="0" w:color="auto"/>
              <w:bottom w:val="single" w:sz="4" w:space="0" w:color="auto"/>
              <w:right w:val="single" w:sz="4" w:space="0" w:color="auto"/>
            </w:tcBorders>
          </w:tcPr>
          <w:p w:rsidR="00BB07DE" w:rsidRPr="00BB07DE" w:rsidDel="008C3BF7" w:rsidRDefault="00BB07DE" w:rsidP="00BB07DE">
            <w:pPr>
              <w:tabs>
                <w:tab w:val="decimal" w:pos="505"/>
              </w:tabs>
              <w:rPr>
                <w:rFonts w:ascii="Verdana" w:hAnsi="Verdana"/>
                <w:sz w:val="18"/>
                <w:szCs w:val="18"/>
              </w:rPr>
            </w:pPr>
            <w:r w:rsidRPr="00BB07DE">
              <w:rPr>
                <w:rFonts w:ascii="Verdana" w:hAnsi="Verdana"/>
                <w:sz w:val="18"/>
                <w:szCs w:val="18"/>
              </w:rPr>
              <w:t>19.7</w:t>
            </w:r>
          </w:p>
        </w:tc>
        <w:tc>
          <w:tcPr>
            <w:tcW w:w="1013" w:type="dxa"/>
            <w:tcBorders>
              <w:top w:val="single" w:sz="4" w:space="0" w:color="auto"/>
              <w:left w:val="single" w:sz="4" w:space="0" w:color="auto"/>
              <w:bottom w:val="single" w:sz="4" w:space="0" w:color="auto"/>
              <w:right w:val="single" w:sz="4" w:space="0" w:color="auto"/>
            </w:tcBorders>
          </w:tcPr>
          <w:p w:rsidR="00BB07DE" w:rsidRPr="00BB07DE" w:rsidDel="008C3BF7" w:rsidRDefault="00BB07DE" w:rsidP="00BB07DE">
            <w:pPr>
              <w:tabs>
                <w:tab w:val="decimal" w:pos="505"/>
              </w:tabs>
              <w:rPr>
                <w:rFonts w:ascii="Verdana" w:hAnsi="Verdana"/>
                <w:sz w:val="18"/>
                <w:szCs w:val="18"/>
              </w:rPr>
            </w:pPr>
            <w:r w:rsidRPr="00BB07DE">
              <w:rPr>
                <w:rFonts w:ascii="Verdana" w:hAnsi="Verdana"/>
                <w:sz w:val="18"/>
                <w:szCs w:val="18"/>
              </w:rPr>
              <w:t>16.3</w:t>
            </w:r>
          </w:p>
        </w:tc>
        <w:tc>
          <w:tcPr>
            <w:tcW w:w="992" w:type="dxa"/>
            <w:tcBorders>
              <w:top w:val="single" w:sz="4" w:space="0" w:color="auto"/>
              <w:left w:val="single" w:sz="4" w:space="0" w:color="auto"/>
              <w:bottom w:val="single" w:sz="4" w:space="0" w:color="auto"/>
              <w:right w:val="single" w:sz="4" w:space="0" w:color="auto"/>
            </w:tcBorders>
          </w:tcPr>
          <w:p w:rsidR="00BB07DE" w:rsidRPr="00BB07DE" w:rsidDel="008C3BF7" w:rsidRDefault="00BB07DE" w:rsidP="00BB07DE">
            <w:pPr>
              <w:tabs>
                <w:tab w:val="decimal" w:pos="505"/>
              </w:tabs>
              <w:rPr>
                <w:rFonts w:ascii="Verdana" w:hAnsi="Verdana"/>
                <w:sz w:val="18"/>
                <w:szCs w:val="18"/>
              </w:rPr>
            </w:pPr>
            <w:r w:rsidRPr="00BB07DE">
              <w:rPr>
                <w:rFonts w:ascii="Verdana" w:hAnsi="Verdana"/>
                <w:sz w:val="18"/>
                <w:szCs w:val="18"/>
              </w:rPr>
              <w:t>13.4</w:t>
            </w:r>
          </w:p>
        </w:tc>
        <w:tc>
          <w:tcPr>
            <w:tcW w:w="927" w:type="dxa"/>
            <w:tcBorders>
              <w:top w:val="single" w:sz="4" w:space="0" w:color="auto"/>
              <w:left w:val="single" w:sz="4" w:space="0" w:color="auto"/>
              <w:bottom w:val="single" w:sz="4" w:space="0" w:color="auto"/>
              <w:right w:val="single" w:sz="4" w:space="0" w:color="auto"/>
            </w:tcBorders>
          </w:tcPr>
          <w:p w:rsidR="00BB07DE" w:rsidRPr="00BB07DE" w:rsidDel="008C3BF7" w:rsidRDefault="00BB07DE" w:rsidP="00BB07DE">
            <w:pPr>
              <w:tabs>
                <w:tab w:val="decimal" w:pos="505"/>
              </w:tabs>
              <w:rPr>
                <w:rFonts w:ascii="Verdana" w:hAnsi="Verdana"/>
                <w:sz w:val="18"/>
                <w:szCs w:val="18"/>
              </w:rPr>
            </w:pPr>
            <w:r w:rsidRPr="00BB07DE">
              <w:rPr>
                <w:rFonts w:ascii="Verdana" w:hAnsi="Verdana"/>
                <w:sz w:val="18"/>
                <w:szCs w:val="18"/>
              </w:rPr>
              <w:t>14.5</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 xml:space="preserve">National </w:t>
            </w:r>
            <w:proofErr w:type="spellStart"/>
            <w:r w:rsidRPr="00BB07DE">
              <w:rPr>
                <w:rFonts w:ascii="Verdana" w:hAnsi="Verdana"/>
                <w:sz w:val="18"/>
                <w:szCs w:val="18"/>
              </w:rPr>
              <w:t>Blackspot</w:t>
            </w:r>
            <w:proofErr w:type="spellEnd"/>
            <w:r w:rsidRPr="00BB07DE">
              <w:rPr>
                <w:rFonts w:ascii="Verdana" w:hAnsi="Verdana"/>
                <w:sz w:val="18"/>
                <w:szCs w:val="18"/>
              </w:rPr>
              <w:t xml:space="preserve"> program</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11.7</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13.6</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44.5</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11.4</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10.2</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TOTAL FEDERAL GOVERNMENT FUNDING</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712.3</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484.2</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535.6</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299.4</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342.5</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u w:val="single"/>
              </w:rPr>
            </w:pPr>
          </w:p>
          <w:p w:rsidR="00BB07DE" w:rsidRPr="00BB07DE" w:rsidRDefault="00BB07DE" w:rsidP="00BB07DE">
            <w:pPr>
              <w:jc w:val="both"/>
              <w:rPr>
                <w:rFonts w:ascii="Verdana" w:hAnsi="Verdana"/>
                <w:sz w:val="18"/>
                <w:szCs w:val="18"/>
                <w:u w:val="single"/>
              </w:rPr>
            </w:pPr>
            <w:r w:rsidRPr="00BB07DE">
              <w:rPr>
                <w:rFonts w:ascii="Verdana" w:hAnsi="Verdana"/>
                <w:sz w:val="18"/>
                <w:szCs w:val="18"/>
                <w:u w:val="single"/>
              </w:rPr>
              <w:t>State Government</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right" w:pos="330"/>
                <w:tab w:val="right" w:pos="472"/>
              </w:tabs>
              <w:jc w:val="both"/>
              <w:rPr>
                <w:rFonts w:ascii="Verdana" w:hAnsi="Verdana"/>
                <w:sz w:val="18"/>
                <w:szCs w:val="18"/>
              </w:rPr>
            </w:pPr>
            <w:r w:rsidRPr="00BB07DE">
              <w:rPr>
                <w:rFonts w:ascii="Verdana" w:hAnsi="Verdana"/>
                <w:sz w:val="18"/>
                <w:szCs w:val="18"/>
              </w:rPr>
              <w:t>Outputs appropriations</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256.6</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261.9</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245.6</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192.3</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224.4</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Contributed capital appropriations</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82.0</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307.7</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433.9</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439.5</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182.4</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 xml:space="preserve">Better Roads Victoria Trust Account </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553.4</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610.7</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571.9</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569.6</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631.5</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 xml:space="preserve">TOTAL </w:t>
            </w:r>
            <w:smartTag w:uri="urn:schemas-microsoft-com:office:smarttags" w:element="PlaceType">
              <w:r w:rsidRPr="00BB07DE">
                <w:rPr>
                  <w:rFonts w:ascii="Verdana" w:hAnsi="Verdana"/>
                  <w:sz w:val="18"/>
                  <w:szCs w:val="18"/>
                </w:rPr>
                <w:t>STATE</w:t>
              </w:r>
            </w:smartTag>
            <w:r w:rsidRPr="00BB07DE">
              <w:rPr>
                <w:rFonts w:ascii="Verdana" w:hAnsi="Verdana"/>
                <w:sz w:val="18"/>
                <w:szCs w:val="18"/>
              </w:rPr>
              <w:t xml:space="preserve"> GOVERNMENT FUNDING</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892.0</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1,180.3</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1,251.4</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1,201.4</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1,038.3</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p>
          <w:p w:rsidR="00BB07DE" w:rsidRPr="00BB07DE" w:rsidRDefault="00BB07DE" w:rsidP="00BB07DE">
            <w:pPr>
              <w:jc w:val="both"/>
              <w:rPr>
                <w:rFonts w:ascii="Verdana" w:hAnsi="Verdana"/>
                <w:sz w:val="18"/>
                <w:szCs w:val="18"/>
              </w:rPr>
            </w:pPr>
            <w:r w:rsidRPr="00BB07DE">
              <w:rPr>
                <w:rFonts w:ascii="Verdana" w:hAnsi="Verdana"/>
                <w:sz w:val="18"/>
                <w:szCs w:val="18"/>
              </w:rPr>
              <w:t>Transport Accident Commission Program Funding</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p>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101.8</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112.9</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104.6</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126.7</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100.1</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 xml:space="preserve">VicRoads generated revenue </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271.2</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241.0</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225.8</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225.3</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246.0</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TOTAL FUNDING</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1,977.3</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2,018.4</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2,117.4</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1,852.8</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1,726.9</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275"/>
              </w:tabs>
              <w:jc w:val="both"/>
              <w:rPr>
                <w:rFonts w:ascii="Verdana" w:hAnsi="Verdana"/>
                <w:sz w:val="18"/>
                <w:szCs w:val="18"/>
              </w:rPr>
            </w:pP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1C2C30">
            <w:pPr>
              <w:rPr>
                <w:rFonts w:ascii="Verdana" w:hAnsi="Verdana"/>
                <w:b/>
                <w:sz w:val="18"/>
                <w:szCs w:val="18"/>
              </w:rPr>
            </w:pPr>
            <w:r w:rsidRPr="00BB07DE">
              <w:rPr>
                <w:rFonts w:ascii="Verdana" w:hAnsi="Verdana"/>
                <w:b/>
                <w:sz w:val="18"/>
                <w:szCs w:val="18"/>
              </w:rPr>
              <w:t>INCOME COLLECTED ON BEHALF OF THE VICTORIAN GOVERNMENT AND OTHER GOVERNMENT AGENCIES</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Transport Accident Commission fees</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ind w:left="-113" w:right="-48"/>
              <w:rPr>
                <w:rFonts w:ascii="Verdana" w:hAnsi="Verdana"/>
                <w:sz w:val="18"/>
                <w:szCs w:val="18"/>
              </w:rPr>
            </w:pPr>
            <w:r w:rsidRPr="00BB07DE">
              <w:rPr>
                <w:rFonts w:ascii="Verdana" w:hAnsi="Verdana"/>
                <w:sz w:val="18"/>
                <w:szCs w:val="18"/>
              </w:rPr>
              <w:t>1,705.9</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ind w:left="-113" w:right="-48"/>
              <w:rPr>
                <w:rFonts w:ascii="Verdana" w:hAnsi="Verdana"/>
                <w:sz w:val="18"/>
                <w:szCs w:val="18"/>
              </w:rPr>
            </w:pPr>
            <w:r w:rsidRPr="00BB07DE">
              <w:rPr>
                <w:rFonts w:ascii="Verdana" w:hAnsi="Verdana"/>
                <w:sz w:val="18"/>
                <w:szCs w:val="18"/>
              </w:rPr>
              <w:t>1,628.9</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ind w:left="-113" w:right="-48"/>
              <w:rPr>
                <w:rFonts w:ascii="Verdana" w:hAnsi="Verdana"/>
                <w:sz w:val="18"/>
                <w:szCs w:val="18"/>
              </w:rPr>
            </w:pPr>
            <w:r w:rsidRPr="00BB07DE">
              <w:rPr>
                <w:rFonts w:ascii="Verdana" w:hAnsi="Verdana"/>
                <w:sz w:val="18"/>
                <w:szCs w:val="18"/>
              </w:rPr>
              <w:t>1,559.7</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ind w:left="-113" w:right="-48"/>
              <w:rPr>
                <w:rFonts w:ascii="Verdana" w:hAnsi="Verdana"/>
                <w:sz w:val="18"/>
                <w:szCs w:val="18"/>
              </w:rPr>
            </w:pPr>
            <w:r w:rsidRPr="00BB07DE">
              <w:rPr>
                <w:rFonts w:ascii="Verdana" w:hAnsi="Verdana"/>
                <w:sz w:val="18"/>
                <w:szCs w:val="18"/>
              </w:rPr>
              <w:t>1,466.7</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ind w:left="-113" w:right="-48"/>
              <w:rPr>
                <w:rFonts w:ascii="Verdana" w:hAnsi="Verdana"/>
                <w:sz w:val="18"/>
                <w:szCs w:val="18"/>
              </w:rPr>
            </w:pPr>
            <w:r w:rsidRPr="00BB07DE">
              <w:rPr>
                <w:rFonts w:ascii="Verdana" w:hAnsi="Verdana"/>
                <w:sz w:val="18"/>
                <w:szCs w:val="18"/>
              </w:rPr>
              <w:t>1,408.0</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Motor vehicle registration</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994.7</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912.9</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853.6</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801.9</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759.6</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Stamp Duty</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581.2</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576.0</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568.8</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512.5</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568.5</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Driver licences</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67.9</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52.5</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34.9</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34.1</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29.4</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Federal Interstate Road Transport Scheme registrations</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42.6</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41.9</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33.1</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27.4</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30.7</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jc w:val="both"/>
              <w:rPr>
                <w:rFonts w:ascii="Verdana" w:hAnsi="Verdana"/>
                <w:sz w:val="18"/>
                <w:szCs w:val="18"/>
              </w:rPr>
            </w:pPr>
            <w:r w:rsidRPr="00BB07DE">
              <w:rPr>
                <w:rFonts w:ascii="Verdana" w:hAnsi="Verdana"/>
                <w:sz w:val="18"/>
                <w:szCs w:val="18"/>
              </w:rPr>
              <w:t>Other</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65.7</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71.2</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58.5</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53.8</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53.2</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275"/>
              </w:tabs>
              <w:jc w:val="both"/>
              <w:rPr>
                <w:rFonts w:ascii="Verdana" w:hAnsi="Verdana"/>
                <w:sz w:val="18"/>
                <w:szCs w:val="18"/>
              </w:rPr>
            </w:pPr>
            <w:r w:rsidRPr="00BB07DE">
              <w:rPr>
                <w:rFonts w:ascii="Verdana" w:hAnsi="Verdana"/>
                <w:sz w:val="18"/>
                <w:szCs w:val="18"/>
              </w:rPr>
              <w:t>TOTAL INCOME</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3,458.0</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3,283.4</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3,108.6</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2,896.4</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t>2,849.4</w:t>
            </w: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275"/>
              </w:tabs>
              <w:jc w:val="both"/>
              <w:rPr>
                <w:rFonts w:ascii="Verdana" w:hAnsi="Verdana"/>
                <w:sz w:val="18"/>
                <w:szCs w:val="18"/>
              </w:rPr>
            </w:pP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p>
        </w:tc>
      </w:tr>
      <w:tr w:rsidR="00BB07DE" w:rsidRPr="009C45F9" w:rsidTr="00BB07DE">
        <w:trPr>
          <w:tblHeader/>
          <w:jc w:val="center"/>
        </w:trPr>
        <w:tc>
          <w:tcPr>
            <w:tcW w:w="4644" w:type="dxa"/>
            <w:tcBorders>
              <w:top w:val="single" w:sz="4" w:space="0" w:color="auto"/>
              <w:left w:val="single" w:sz="4" w:space="0" w:color="auto"/>
              <w:bottom w:val="single" w:sz="4" w:space="0" w:color="auto"/>
              <w:right w:val="single" w:sz="4" w:space="0" w:color="auto"/>
            </w:tcBorders>
          </w:tcPr>
          <w:p w:rsidR="00BB07DE" w:rsidRPr="00BB07DE" w:rsidRDefault="00BB07DE" w:rsidP="001C2C30">
            <w:pPr>
              <w:rPr>
                <w:rFonts w:ascii="Verdana" w:hAnsi="Verdana"/>
                <w:sz w:val="18"/>
                <w:szCs w:val="18"/>
              </w:rPr>
            </w:pPr>
            <w:r w:rsidRPr="00BB07DE">
              <w:rPr>
                <w:rFonts w:ascii="Verdana" w:hAnsi="Verdana"/>
                <w:b/>
                <w:sz w:val="18"/>
                <w:szCs w:val="18"/>
              </w:rPr>
              <w:t>INCOME ADMINISTERED ON BEHALF OF THE VICTORIAN GOVERNMENT</w:t>
            </w:r>
          </w:p>
        </w:tc>
        <w:tc>
          <w:tcPr>
            <w:tcW w:w="957" w:type="dxa"/>
            <w:tcBorders>
              <w:top w:val="single" w:sz="4" w:space="0" w:color="auto"/>
              <w:left w:val="single" w:sz="4" w:space="0" w:color="auto"/>
              <w:bottom w:val="single" w:sz="4" w:space="0" w:color="auto"/>
              <w:right w:val="single" w:sz="4" w:space="0" w:color="auto"/>
            </w:tcBorders>
            <w:shd w:val="clear" w:color="auto" w:fill="CCCCCC"/>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br/>
              <w:t>27.9</w:t>
            </w:r>
          </w:p>
        </w:tc>
        <w:tc>
          <w:tcPr>
            <w:tcW w:w="930"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br/>
              <w:t>27.4</w:t>
            </w:r>
          </w:p>
        </w:tc>
        <w:tc>
          <w:tcPr>
            <w:tcW w:w="1013"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br/>
              <w:t>27.8</w:t>
            </w:r>
          </w:p>
        </w:tc>
        <w:tc>
          <w:tcPr>
            <w:tcW w:w="992"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br/>
              <w:t>39.1</w:t>
            </w:r>
          </w:p>
        </w:tc>
        <w:tc>
          <w:tcPr>
            <w:tcW w:w="927" w:type="dxa"/>
            <w:tcBorders>
              <w:top w:val="single" w:sz="4" w:space="0" w:color="auto"/>
              <w:left w:val="single" w:sz="4" w:space="0" w:color="auto"/>
              <w:bottom w:val="single" w:sz="4" w:space="0" w:color="auto"/>
              <w:right w:val="single" w:sz="4" w:space="0" w:color="auto"/>
            </w:tcBorders>
          </w:tcPr>
          <w:p w:rsidR="00BB07DE" w:rsidRPr="00BB07DE" w:rsidRDefault="00BB07DE" w:rsidP="00BB07DE">
            <w:pPr>
              <w:tabs>
                <w:tab w:val="decimal" w:pos="505"/>
              </w:tabs>
              <w:rPr>
                <w:rFonts w:ascii="Verdana" w:hAnsi="Verdana"/>
                <w:sz w:val="18"/>
                <w:szCs w:val="18"/>
              </w:rPr>
            </w:pPr>
            <w:r w:rsidRPr="00BB07DE">
              <w:rPr>
                <w:rFonts w:ascii="Verdana" w:hAnsi="Verdana"/>
                <w:sz w:val="18"/>
                <w:szCs w:val="18"/>
              </w:rPr>
              <w:br/>
              <w:t>51.4</w:t>
            </w:r>
          </w:p>
        </w:tc>
      </w:tr>
    </w:tbl>
    <w:p w:rsidR="00BB07DE" w:rsidRPr="009C45F9" w:rsidRDefault="00BB07DE" w:rsidP="00BB07DE">
      <w:pPr>
        <w:tabs>
          <w:tab w:val="left" w:pos="284"/>
        </w:tabs>
        <w:jc w:val="both"/>
        <w:rPr>
          <w:rFonts w:ascii="Verdana" w:hAnsi="Verdana"/>
          <w:sz w:val="14"/>
          <w:szCs w:val="14"/>
        </w:rPr>
      </w:pPr>
    </w:p>
    <w:p w:rsidR="00BB07DE" w:rsidRDefault="00BB07DE" w:rsidP="00BB07DE">
      <w:pPr>
        <w:tabs>
          <w:tab w:val="left" w:pos="284"/>
        </w:tabs>
        <w:spacing w:before="120"/>
        <w:rPr>
          <w:rFonts w:ascii="Verdana" w:hAnsi="Verdana"/>
          <w:sz w:val="14"/>
          <w:szCs w:val="14"/>
        </w:rPr>
      </w:pPr>
    </w:p>
    <w:p w:rsidR="00BB07DE" w:rsidRDefault="00BB07DE" w:rsidP="00BB07DE">
      <w:pPr>
        <w:tabs>
          <w:tab w:val="left" w:pos="284"/>
        </w:tabs>
        <w:spacing w:before="120"/>
        <w:rPr>
          <w:rFonts w:ascii="Verdana" w:hAnsi="Verdana"/>
          <w:sz w:val="14"/>
          <w:szCs w:val="14"/>
        </w:rPr>
      </w:pPr>
    </w:p>
    <w:p w:rsidR="00BB07DE" w:rsidRDefault="00BB07DE" w:rsidP="00BB07DE">
      <w:pPr>
        <w:tabs>
          <w:tab w:val="left" w:pos="284"/>
        </w:tabs>
        <w:spacing w:before="120"/>
        <w:rPr>
          <w:rFonts w:ascii="Verdana" w:hAnsi="Verdana"/>
          <w:sz w:val="14"/>
          <w:szCs w:val="14"/>
        </w:rPr>
      </w:pPr>
    </w:p>
    <w:p w:rsidR="00BB07DE" w:rsidRDefault="00BB07DE" w:rsidP="00BB07DE">
      <w:pPr>
        <w:tabs>
          <w:tab w:val="left" w:pos="284"/>
        </w:tabs>
        <w:spacing w:before="120"/>
        <w:rPr>
          <w:rFonts w:ascii="Verdana" w:hAnsi="Verdana"/>
          <w:sz w:val="14"/>
          <w:szCs w:val="14"/>
        </w:rPr>
      </w:pPr>
    </w:p>
    <w:p w:rsidR="00BB07DE" w:rsidRDefault="00BB07DE" w:rsidP="00BB07DE">
      <w:pPr>
        <w:tabs>
          <w:tab w:val="left" w:pos="284"/>
        </w:tabs>
        <w:spacing w:before="120"/>
        <w:rPr>
          <w:rFonts w:ascii="Verdana" w:hAnsi="Verdana"/>
          <w:sz w:val="14"/>
          <w:szCs w:val="14"/>
        </w:rPr>
      </w:pPr>
    </w:p>
    <w:p w:rsidR="00BB07DE" w:rsidRDefault="00BB07DE" w:rsidP="00BB07DE">
      <w:pPr>
        <w:tabs>
          <w:tab w:val="left" w:pos="284"/>
        </w:tabs>
        <w:spacing w:before="120"/>
        <w:rPr>
          <w:rFonts w:ascii="Verdana" w:hAnsi="Verdana"/>
          <w:sz w:val="14"/>
          <w:szCs w:val="14"/>
        </w:rPr>
      </w:pPr>
    </w:p>
    <w:p w:rsidR="00BB07DE" w:rsidRDefault="00BB07DE" w:rsidP="00BB07DE">
      <w:pPr>
        <w:tabs>
          <w:tab w:val="left" w:pos="284"/>
        </w:tabs>
        <w:spacing w:before="120"/>
        <w:rPr>
          <w:rFonts w:ascii="Verdana" w:hAnsi="Verdana"/>
          <w:sz w:val="14"/>
          <w:szCs w:val="14"/>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957"/>
        <w:gridCol w:w="957"/>
        <w:gridCol w:w="969"/>
        <w:gridCol w:w="1013"/>
        <w:gridCol w:w="992"/>
      </w:tblGrid>
      <w:tr w:rsidR="00BB07DE" w:rsidRPr="00C72409" w:rsidTr="001C2C30">
        <w:trPr>
          <w:tblHeader/>
          <w:jc w:val="center"/>
        </w:trPr>
        <w:tc>
          <w:tcPr>
            <w:tcW w:w="4644" w:type="dxa"/>
          </w:tcPr>
          <w:p w:rsidR="00BB07DE" w:rsidRPr="00C72409" w:rsidRDefault="00BB07DE" w:rsidP="001C2C30">
            <w:pPr>
              <w:tabs>
                <w:tab w:val="left" w:pos="284"/>
              </w:tabs>
              <w:jc w:val="both"/>
              <w:rPr>
                <w:rFonts w:ascii="Verdana" w:hAnsi="Verdana"/>
                <w:b/>
                <w:sz w:val="18"/>
                <w:szCs w:val="18"/>
              </w:rPr>
            </w:pPr>
            <w:r w:rsidRPr="00C72409">
              <w:rPr>
                <w:rFonts w:ascii="Verdana" w:hAnsi="Verdana"/>
                <w:b/>
                <w:sz w:val="18"/>
                <w:szCs w:val="18"/>
              </w:rPr>
              <w:br/>
              <w:t>AS AT 30 JUNE</w:t>
            </w:r>
          </w:p>
        </w:tc>
        <w:tc>
          <w:tcPr>
            <w:tcW w:w="957" w:type="dxa"/>
            <w:shd w:val="clear" w:color="auto" w:fill="CCCCCC"/>
          </w:tcPr>
          <w:p w:rsidR="00BB07DE" w:rsidRPr="00C72409" w:rsidRDefault="00BB07DE" w:rsidP="001C2C30">
            <w:pPr>
              <w:ind w:right="-78"/>
              <w:jc w:val="center"/>
              <w:rPr>
                <w:rFonts w:ascii="Verdana" w:hAnsi="Verdana"/>
                <w:b/>
                <w:sz w:val="18"/>
                <w:szCs w:val="18"/>
              </w:rPr>
            </w:pPr>
            <w:r w:rsidRPr="00C72409">
              <w:rPr>
                <w:rFonts w:ascii="Verdana" w:hAnsi="Verdana"/>
                <w:b/>
                <w:sz w:val="18"/>
                <w:szCs w:val="18"/>
              </w:rPr>
              <w:t>2012</w:t>
            </w:r>
          </w:p>
          <w:p w:rsidR="00BB07DE" w:rsidRPr="00C72409" w:rsidRDefault="00BB07DE" w:rsidP="001C2C30">
            <w:pPr>
              <w:ind w:right="-79"/>
              <w:jc w:val="center"/>
              <w:rPr>
                <w:rFonts w:ascii="Verdana" w:hAnsi="Verdana"/>
                <w:b/>
                <w:sz w:val="18"/>
                <w:szCs w:val="18"/>
              </w:rPr>
            </w:pPr>
            <w:r w:rsidRPr="00C72409">
              <w:rPr>
                <w:rFonts w:ascii="Verdana" w:hAnsi="Verdana"/>
                <w:b/>
                <w:sz w:val="18"/>
                <w:szCs w:val="18"/>
              </w:rPr>
              <w:t>$m</w:t>
            </w:r>
          </w:p>
        </w:tc>
        <w:tc>
          <w:tcPr>
            <w:tcW w:w="957" w:type="dxa"/>
            <w:shd w:val="clear" w:color="auto" w:fill="auto"/>
          </w:tcPr>
          <w:p w:rsidR="00BB07DE" w:rsidRPr="00C72409" w:rsidRDefault="00BB07DE" w:rsidP="001C2C30">
            <w:pPr>
              <w:ind w:right="-78"/>
              <w:jc w:val="center"/>
              <w:rPr>
                <w:rFonts w:ascii="Verdana" w:hAnsi="Verdana"/>
                <w:b/>
                <w:sz w:val="18"/>
                <w:szCs w:val="18"/>
              </w:rPr>
            </w:pPr>
            <w:r w:rsidRPr="00C72409">
              <w:rPr>
                <w:rFonts w:ascii="Verdana" w:hAnsi="Verdana"/>
                <w:b/>
                <w:sz w:val="18"/>
                <w:szCs w:val="18"/>
              </w:rPr>
              <w:t>2011</w:t>
            </w:r>
          </w:p>
          <w:p w:rsidR="00BB07DE" w:rsidRPr="00C72409" w:rsidRDefault="00BB07DE" w:rsidP="001C2C30">
            <w:pPr>
              <w:ind w:right="-79"/>
              <w:jc w:val="center"/>
              <w:rPr>
                <w:rFonts w:ascii="Verdana" w:hAnsi="Verdana"/>
                <w:b/>
                <w:sz w:val="18"/>
                <w:szCs w:val="18"/>
              </w:rPr>
            </w:pPr>
            <w:r w:rsidRPr="00C72409">
              <w:rPr>
                <w:rFonts w:ascii="Verdana" w:hAnsi="Verdana"/>
                <w:b/>
                <w:sz w:val="18"/>
                <w:szCs w:val="18"/>
              </w:rPr>
              <w:t>$m</w:t>
            </w:r>
          </w:p>
        </w:tc>
        <w:tc>
          <w:tcPr>
            <w:tcW w:w="969" w:type="dxa"/>
          </w:tcPr>
          <w:p w:rsidR="00BB07DE" w:rsidRPr="00C72409" w:rsidRDefault="00BB07DE" w:rsidP="001C2C30">
            <w:pPr>
              <w:ind w:right="-78"/>
              <w:jc w:val="center"/>
              <w:rPr>
                <w:rFonts w:ascii="Verdana" w:hAnsi="Verdana"/>
                <w:b/>
                <w:sz w:val="18"/>
                <w:szCs w:val="18"/>
              </w:rPr>
            </w:pPr>
            <w:r w:rsidRPr="00C72409">
              <w:rPr>
                <w:rFonts w:ascii="Verdana" w:hAnsi="Verdana"/>
                <w:b/>
                <w:sz w:val="18"/>
                <w:szCs w:val="18"/>
              </w:rPr>
              <w:t>2010</w:t>
            </w:r>
          </w:p>
          <w:p w:rsidR="00BB07DE" w:rsidRPr="00C72409" w:rsidRDefault="00BB07DE" w:rsidP="001C2C30">
            <w:pPr>
              <w:ind w:right="-79"/>
              <w:jc w:val="center"/>
              <w:rPr>
                <w:rFonts w:ascii="Verdana" w:hAnsi="Verdana"/>
                <w:b/>
                <w:sz w:val="18"/>
                <w:szCs w:val="18"/>
              </w:rPr>
            </w:pPr>
            <w:r w:rsidRPr="00C72409">
              <w:rPr>
                <w:rFonts w:ascii="Verdana" w:hAnsi="Verdana"/>
                <w:b/>
                <w:sz w:val="18"/>
                <w:szCs w:val="18"/>
              </w:rPr>
              <w:t>$m</w:t>
            </w:r>
          </w:p>
        </w:tc>
        <w:tc>
          <w:tcPr>
            <w:tcW w:w="1013" w:type="dxa"/>
          </w:tcPr>
          <w:p w:rsidR="00BB07DE" w:rsidRPr="00C72409" w:rsidRDefault="00BB07DE" w:rsidP="001C2C30">
            <w:pPr>
              <w:ind w:right="-78"/>
              <w:jc w:val="center"/>
              <w:rPr>
                <w:rFonts w:ascii="Verdana" w:hAnsi="Verdana"/>
                <w:b/>
                <w:sz w:val="18"/>
                <w:szCs w:val="18"/>
              </w:rPr>
            </w:pPr>
            <w:r w:rsidRPr="00C72409">
              <w:rPr>
                <w:rFonts w:ascii="Verdana" w:hAnsi="Verdana"/>
                <w:b/>
                <w:sz w:val="18"/>
                <w:szCs w:val="18"/>
              </w:rPr>
              <w:t>2009</w:t>
            </w:r>
          </w:p>
          <w:p w:rsidR="00BB07DE" w:rsidRPr="00C72409" w:rsidRDefault="00BB07DE" w:rsidP="001C2C30">
            <w:pPr>
              <w:ind w:right="-79"/>
              <w:jc w:val="center"/>
              <w:rPr>
                <w:rFonts w:ascii="Verdana" w:hAnsi="Verdana"/>
                <w:b/>
                <w:sz w:val="18"/>
                <w:szCs w:val="18"/>
              </w:rPr>
            </w:pPr>
            <w:r w:rsidRPr="00C72409">
              <w:rPr>
                <w:rFonts w:ascii="Verdana" w:hAnsi="Verdana"/>
                <w:b/>
                <w:sz w:val="18"/>
                <w:szCs w:val="18"/>
              </w:rPr>
              <w:t>$m</w:t>
            </w:r>
          </w:p>
        </w:tc>
        <w:tc>
          <w:tcPr>
            <w:tcW w:w="992" w:type="dxa"/>
          </w:tcPr>
          <w:p w:rsidR="00BB07DE" w:rsidRPr="00C72409" w:rsidRDefault="00BB07DE" w:rsidP="001C2C30">
            <w:pPr>
              <w:ind w:right="-78"/>
              <w:jc w:val="center"/>
              <w:rPr>
                <w:rFonts w:ascii="Verdana" w:hAnsi="Verdana"/>
                <w:b/>
                <w:sz w:val="18"/>
                <w:szCs w:val="18"/>
              </w:rPr>
            </w:pPr>
            <w:r w:rsidRPr="00C72409">
              <w:rPr>
                <w:rFonts w:ascii="Verdana" w:hAnsi="Verdana"/>
                <w:b/>
                <w:sz w:val="18"/>
                <w:szCs w:val="18"/>
              </w:rPr>
              <w:t>2008</w:t>
            </w:r>
          </w:p>
          <w:p w:rsidR="00BB07DE" w:rsidRPr="00C72409" w:rsidRDefault="00BB07DE" w:rsidP="001C2C30">
            <w:pPr>
              <w:ind w:right="-79"/>
              <w:jc w:val="center"/>
              <w:rPr>
                <w:rFonts w:ascii="Verdana" w:hAnsi="Verdana"/>
                <w:b/>
                <w:sz w:val="18"/>
                <w:szCs w:val="18"/>
              </w:rPr>
            </w:pPr>
            <w:r w:rsidRPr="00C72409">
              <w:rPr>
                <w:rFonts w:ascii="Verdana" w:hAnsi="Verdana"/>
                <w:b/>
                <w:sz w:val="18"/>
                <w:szCs w:val="18"/>
              </w:rPr>
              <w:t>$m</w:t>
            </w:r>
          </w:p>
        </w:tc>
      </w:tr>
      <w:tr w:rsidR="00BB07DE" w:rsidRPr="00C72409" w:rsidTr="001C2C30">
        <w:trPr>
          <w:tblHeader/>
          <w:jc w:val="center"/>
        </w:trPr>
        <w:tc>
          <w:tcPr>
            <w:tcW w:w="4644" w:type="dxa"/>
          </w:tcPr>
          <w:p w:rsidR="00BB07DE" w:rsidRPr="00C72409" w:rsidRDefault="00BB07DE" w:rsidP="001C2C30">
            <w:pPr>
              <w:ind w:left="-172" w:firstLine="172"/>
              <w:jc w:val="both"/>
              <w:rPr>
                <w:rFonts w:ascii="Verdana" w:hAnsi="Verdana"/>
                <w:b/>
                <w:sz w:val="18"/>
                <w:szCs w:val="18"/>
              </w:rPr>
            </w:pPr>
            <w:r w:rsidRPr="00C72409">
              <w:rPr>
                <w:rFonts w:ascii="Verdana" w:hAnsi="Verdana"/>
                <w:b/>
                <w:sz w:val="18"/>
                <w:szCs w:val="18"/>
              </w:rPr>
              <w:t>FINANCIAL POSITION</w:t>
            </w:r>
          </w:p>
        </w:tc>
        <w:tc>
          <w:tcPr>
            <w:tcW w:w="957" w:type="dxa"/>
            <w:shd w:val="clear" w:color="auto" w:fill="CCCCCC"/>
          </w:tcPr>
          <w:p w:rsidR="00BB07DE" w:rsidRPr="00C72409" w:rsidRDefault="00BB07DE" w:rsidP="001C2C30">
            <w:pPr>
              <w:tabs>
                <w:tab w:val="decimal" w:pos="607"/>
              </w:tabs>
              <w:rPr>
                <w:rFonts w:ascii="Verdana" w:hAnsi="Verdana"/>
                <w:sz w:val="18"/>
                <w:szCs w:val="18"/>
              </w:rPr>
            </w:pPr>
          </w:p>
        </w:tc>
        <w:tc>
          <w:tcPr>
            <w:tcW w:w="957" w:type="dxa"/>
            <w:shd w:val="clear" w:color="auto" w:fill="auto"/>
          </w:tcPr>
          <w:p w:rsidR="00BB07DE" w:rsidRPr="00C72409" w:rsidRDefault="00BB07DE" w:rsidP="001C2C30">
            <w:pPr>
              <w:tabs>
                <w:tab w:val="decimal" w:pos="607"/>
              </w:tabs>
              <w:rPr>
                <w:rFonts w:ascii="Verdana" w:hAnsi="Verdana"/>
                <w:sz w:val="18"/>
                <w:szCs w:val="18"/>
              </w:rPr>
            </w:pPr>
          </w:p>
        </w:tc>
        <w:tc>
          <w:tcPr>
            <w:tcW w:w="969" w:type="dxa"/>
          </w:tcPr>
          <w:p w:rsidR="00BB07DE" w:rsidRPr="00C72409" w:rsidRDefault="00BB07DE" w:rsidP="001C2C30">
            <w:pPr>
              <w:tabs>
                <w:tab w:val="decimal" w:pos="505"/>
              </w:tabs>
              <w:rPr>
                <w:rFonts w:ascii="Verdana" w:hAnsi="Verdana"/>
                <w:sz w:val="18"/>
                <w:szCs w:val="18"/>
              </w:rPr>
            </w:pPr>
          </w:p>
        </w:tc>
        <w:tc>
          <w:tcPr>
            <w:tcW w:w="1013" w:type="dxa"/>
          </w:tcPr>
          <w:p w:rsidR="00BB07DE" w:rsidRPr="00C72409" w:rsidRDefault="00BB07DE" w:rsidP="001C2C30">
            <w:pPr>
              <w:tabs>
                <w:tab w:val="decimal" w:pos="540"/>
              </w:tabs>
              <w:rPr>
                <w:rFonts w:ascii="Verdana" w:hAnsi="Verdana"/>
                <w:sz w:val="18"/>
                <w:szCs w:val="18"/>
              </w:rPr>
            </w:pPr>
          </w:p>
        </w:tc>
        <w:tc>
          <w:tcPr>
            <w:tcW w:w="992" w:type="dxa"/>
          </w:tcPr>
          <w:p w:rsidR="00BB07DE" w:rsidRPr="00C72409" w:rsidRDefault="00BB07DE" w:rsidP="001C2C30">
            <w:pPr>
              <w:tabs>
                <w:tab w:val="decimal" w:pos="603"/>
              </w:tabs>
              <w:rPr>
                <w:rFonts w:ascii="Verdana" w:hAnsi="Verdana"/>
                <w:sz w:val="18"/>
                <w:szCs w:val="18"/>
              </w:rPr>
            </w:pPr>
          </w:p>
        </w:tc>
      </w:tr>
      <w:tr w:rsidR="00BB07DE" w:rsidRPr="00C72409" w:rsidTr="001C2C30">
        <w:trPr>
          <w:tblHeader/>
          <w:jc w:val="center"/>
        </w:trPr>
        <w:tc>
          <w:tcPr>
            <w:tcW w:w="4644" w:type="dxa"/>
          </w:tcPr>
          <w:p w:rsidR="00BB07DE" w:rsidRPr="00C72409" w:rsidRDefault="00BB07DE" w:rsidP="001C2C30">
            <w:pPr>
              <w:rPr>
                <w:rFonts w:ascii="Verdana" w:hAnsi="Verdana"/>
                <w:sz w:val="18"/>
                <w:szCs w:val="18"/>
              </w:rPr>
            </w:pPr>
            <w:r w:rsidRPr="00C72409">
              <w:rPr>
                <w:rFonts w:ascii="Verdana" w:hAnsi="Verdana"/>
                <w:sz w:val="18"/>
                <w:szCs w:val="18"/>
              </w:rPr>
              <w:t>Total assets</w:t>
            </w:r>
          </w:p>
        </w:tc>
        <w:tc>
          <w:tcPr>
            <w:tcW w:w="957" w:type="dxa"/>
            <w:shd w:val="clear" w:color="auto" w:fill="CCCCCC"/>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45,136.6</w:t>
            </w:r>
          </w:p>
        </w:tc>
        <w:tc>
          <w:tcPr>
            <w:tcW w:w="957" w:type="dxa"/>
            <w:shd w:val="clear" w:color="auto" w:fill="auto"/>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42,393.6</w:t>
            </w:r>
          </w:p>
        </w:tc>
        <w:tc>
          <w:tcPr>
            <w:tcW w:w="969" w:type="dxa"/>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41,906.7</w:t>
            </w:r>
          </w:p>
        </w:tc>
        <w:tc>
          <w:tcPr>
            <w:tcW w:w="1013" w:type="dxa"/>
          </w:tcPr>
          <w:p w:rsidR="00BB07DE" w:rsidRPr="00C72409" w:rsidRDefault="00BB07DE" w:rsidP="001C2C30">
            <w:pPr>
              <w:tabs>
                <w:tab w:val="decimal" w:pos="505"/>
              </w:tabs>
              <w:rPr>
                <w:rFonts w:ascii="Verdana" w:hAnsi="Verdana"/>
                <w:sz w:val="18"/>
                <w:szCs w:val="18"/>
              </w:rPr>
            </w:pPr>
            <w:r w:rsidRPr="00C72409">
              <w:rPr>
                <w:rFonts w:ascii="Verdana" w:hAnsi="Verdana"/>
                <w:sz w:val="18"/>
                <w:szCs w:val="18"/>
              </w:rPr>
              <w:t xml:space="preserve">37,715.9 </w:t>
            </w:r>
            <w:r w:rsidRPr="00C72409">
              <w:rPr>
                <w:rFonts w:ascii="Verdana" w:hAnsi="Verdana"/>
                <w:sz w:val="18"/>
                <w:szCs w:val="18"/>
                <w:vertAlign w:val="superscript"/>
              </w:rPr>
              <w:t>*</w:t>
            </w:r>
          </w:p>
        </w:tc>
        <w:tc>
          <w:tcPr>
            <w:tcW w:w="992" w:type="dxa"/>
          </w:tcPr>
          <w:p w:rsidR="00BB07DE" w:rsidRPr="00C72409" w:rsidRDefault="00BB07DE" w:rsidP="001C2C30">
            <w:pPr>
              <w:tabs>
                <w:tab w:val="decimal" w:pos="505"/>
              </w:tabs>
              <w:rPr>
                <w:rFonts w:ascii="Verdana" w:hAnsi="Verdana"/>
                <w:sz w:val="18"/>
                <w:szCs w:val="18"/>
              </w:rPr>
            </w:pPr>
            <w:r w:rsidRPr="00C72409">
              <w:rPr>
                <w:rFonts w:ascii="Verdana" w:hAnsi="Verdana"/>
                <w:sz w:val="18"/>
                <w:szCs w:val="18"/>
              </w:rPr>
              <w:t>22,594.8</w:t>
            </w:r>
          </w:p>
        </w:tc>
      </w:tr>
      <w:tr w:rsidR="00BB07DE" w:rsidRPr="00C72409" w:rsidTr="001C2C30">
        <w:trPr>
          <w:tblHeader/>
          <w:jc w:val="center"/>
        </w:trPr>
        <w:tc>
          <w:tcPr>
            <w:tcW w:w="4644" w:type="dxa"/>
          </w:tcPr>
          <w:p w:rsidR="00BB07DE" w:rsidRPr="00C72409" w:rsidRDefault="00BB07DE" w:rsidP="001C2C30">
            <w:pPr>
              <w:jc w:val="both"/>
              <w:rPr>
                <w:rFonts w:ascii="Verdana" w:hAnsi="Verdana"/>
                <w:sz w:val="18"/>
                <w:szCs w:val="18"/>
              </w:rPr>
            </w:pPr>
            <w:r w:rsidRPr="00C72409">
              <w:rPr>
                <w:rFonts w:ascii="Verdana" w:hAnsi="Verdana"/>
                <w:sz w:val="18"/>
                <w:szCs w:val="18"/>
              </w:rPr>
              <w:t>Total liabilities</w:t>
            </w:r>
          </w:p>
        </w:tc>
        <w:tc>
          <w:tcPr>
            <w:tcW w:w="957" w:type="dxa"/>
            <w:shd w:val="clear" w:color="auto" w:fill="CCCCCC"/>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419.3</w:t>
            </w:r>
          </w:p>
        </w:tc>
        <w:tc>
          <w:tcPr>
            <w:tcW w:w="957" w:type="dxa"/>
            <w:shd w:val="clear" w:color="auto" w:fill="auto"/>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437.1</w:t>
            </w:r>
          </w:p>
        </w:tc>
        <w:tc>
          <w:tcPr>
            <w:tcW w:w="969" w:type="dxa"/>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422.2</w:t>
            </w:r>
          </w:p>
        </w:tc>
        <w:tc>
          <w:tcPr>
            <w:tcW w:w="1013" w:type="dxa"/>
          </w:tcPr>
          <w:p w:rsidR="00BB07DE" w:rsidRPr="00C72409" w:rsidRDefault="00BB07DE" w:rsidP="001C2C30">
            <w:pPr>
              <w:tabs>
                <w:tab w:val="decimal" w:pos="505"/>
              </w:tabs>
              <w:rPr>
                <w:rFonts w:ascii="Verdana" w:hAnsi="Verdana"/>
                <w:sz w:val="18"/>
                <w:szCs w:val="18"/>
              </w:rPr>
            </w:pPr>
            <w:r w:rsidRPr="00C72409">
              <w:rPr>
                <w:rFonts w:ascii="Verdana" w:hAnsi="Verdana"/>
                <w:sz w:val="18"/>
                <w:szCs w:val="18"/>
              </w:rPr>
              <w:t>373.3</w:t>
            </w:r>
          </w:p>
        </w:tc>
        <w:tc>
          <w:tcPr>
            <w:tcW w:w="992" w:type="dxa"/>
          </w:tcPr>
          <w:p w:rsidR="00BB07DE" w:rsidRPr="00C72409" w:rsidRDefault="00BB07DE" w:rsidP="001C2C30">
            <w:pPr>
              <w:tabs>
                <w:tab w:val="decimal" w:pos="505"/>
              </w:tabs>
              <w:rPr>
                <w:rFonts w:ascii="Verdana" w:hAnsi="Verdana"/>
                <w:sz w:val="18"/>
                <w:szCs w:val="18"/>
              </w:rPr>
            </w:pPr>
            <w:r w:rsidRPr="00C72409">
              <w:rPr>
                <w:rFonts w:ascii="Verdana" w:hAnsi="Verdana"/>
                <w:sz w:val="18"/>
                <w:szCs w:val="18"/>
              </w:rPr>
              <w:t>388.2</w:t>
            </w:r>
          </w:p>
        </w:tc>
      </w:tr>
      <w:tr w:rsidR="00BB07DE" w:rsidRPr="00C72409" w:rsidTr="001C2C30">
        <w:trPr>
          <w:tblHeader/>
          <w:jc w:val="center"/>
        </w:trPr>
        <w:tc>
          <w:tcPr>
            <w:tcW w:w="4644" w:type="dxa"/>
          </w:tcPr>
          <w:p w:rsidR="00BB07DE" w:rsidRPr="00C72409" w:rsidRDefault="00BB07DE" w:rsidP="001C2C30">
            <w:pPr>
              <w:jc w:val="both"/>
              <w:rPr>
                <w:rFonts w:ascii="Verdana" w:hAnsi="Verdana"/>
                <w:sz w:val="18"/>
                <w:szCs w:val="18"/>
              </w:rPr>
            </w:pPr>
            <w:r w:rsidRPr="00C72409">
              <w:rPr>
                <w:rFonts w:ascii="Verdana" w:hAnsi="Verdana"/>
                <w:sz w:val="18"/>
                <w:szCs w:val="18"/>
              </w:rPr>
              <w:t>NET ASSETS</w:t>
            </w:r>
          </w:p>
        </w:tc>
        <w:tc>
          <w:tcPr>
            <w:tcW w:w="957" w:type="dxa"/>
            <w:shd w:val="clear" w:color="auto" w:fill="CCCCCC"/>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44,717.3</w:t>
            </w:r>
          </w:p>
        </w:tc>
        <w:tc>
          <w:tcPr>
            <w:tcW w:w="957" w:type="dxa"/>
            <w:shd w:val="clear" w:color="auto" w:fill="auto"/>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41,956.5</w:t>
            </w:r>
          </w:p>
        </w:tc>
        <w:tc>
          <w:tcPr>
            <w:tcW w:w="969" w:type="dxa"/>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41,484.5</w:t>
            </w:r>
          </w:p>
        </w:tc>
        <w:tc>
          <w:tcPr>
            <w:tcW w:w="1013" w:type="dxa"/>
          </w:tcPr>
          <w:p w:rsidR="00BB07DE" w:rsidRPr="00C72409" w:rsidRDefault="00BB07DE" w:rsidP="001C2C30">
            <w:pPr>
              <w:tabs>
                <w:tab w:val="decimal" w:pos="505"/>
              </w:tabs>
              <w:rPr>
                <w:rFonts w:ascii="Verdana" w:hAnsi="Verdana"/>
                <w:sz w:val="18"/>
                <w:szCs w:val="18"/>
              </w:rPr>
            </w:pPr>
            <w:r w:rsidRPr="00C72409">
              <w:rPr>
                <w:rFonts w:ascii="Verdana" w:hAnsi="Verdana"/>
                <w:sz w:val="18"/>
                <w:szCs w:val="18"/>
              </w:rPr>
              <w:t>37,342.6</w:t>
            </w:r>
          </w:p>
        </w:tc>
        <w:tc>
          <w:tcPr>
            <w:tcW w:w="992" w:type="dxa"/>
          </w:tcPr>
          <w:p w:rsidR="00BB07DE" w:rsidRPr="00C72409" w:rsidRDefault="00BB07DE" w:rsidP="001C2C30">
            <w:pPr>
              <w:tabs>
                <w:tab w:val="decimal" w:pos="505"/>
              </w:tabs>
              <w:rPr>
                <w:rFonts w:ascii="Verdana" w:hAnsi="Verdana"/>
                <w:sz w:val="18"/>
                <w:szCs w:val="18"/>
              </w:rPr>
            </w:pPr>
            <w:r w:rsidRPr="00C72409">
              <w:rPr>
                <w:rFonts w:ascii="Verdana" w:hAnsi="Verdana"/>
                <w:sz w:val="18"/>
                <w:szCs w:val="18"/>
              </w:rPr>
              <w:t>22,206.6</w:t>
            </w:r>
          </w:p>
        </w:tc>
      </w:tr>
      <w:tr w:rsidR="00BB07DE" w:rsidRPr="00C72409" w:rsidTr="001C2C30">
        <w:trPr>
          <w:tblHeader/>
          <w:jc w:val="center"/>
        </w:trPr>
        <w:tc>
          <w:tcPr>
            <w:tcW w:w="4644" w:type="dxa"/>
          </w:tcPr>
          <w:p w:rsidR="00BB07DE" w:rsidRPr="00C72409" w:rsidRDefault="00BB07DE" w:rsidP="001C2C30">
            <w:pPr>
              <w:jc w:val="both"/>
              <w:rPr>
                <w:rFonts w:ascii="Verdana" w:hAnsi="Verdana"/>
                <w:sz w:val="18"/>
                <w:szCs w:val="18"/>
              </w:rPr>
            </w:pPr>
          </w:p>
          <w:p w:rsidR="00BB07DE" w:rsidRPr="00C72409" w:rsidRDefault="00BB07DE" w:rsidP="001C2C30">
            <w:pPr>
              <w:jc w:val="both"/>
              <w:rPr>
                <w:rFonts w:ascii="Verdana" w:hAnsi="Verdana"/>
                <w:sz w:val="18"/>
                <w:szCs w:val="18"/>
              </w:rPr>
            </w:pPr>
            <w:r w:rsidRPr="00C72409">
              <w:rPr>
                <w:rFonts w:ascii="Verdana" w:hAnsi="Verdana"/>
                <w:sz w:val="18"/>
                <w:szCs w:val="18"/>
              </w:rPr>
              <w:t>Contributed capital</w:t>
            </w:r>
          </w:p>
        </w:tc>
        <w:tc>
          <w:tcPr>
            <w:tcW w:w="957" w:type="dxa"/>
            <w:shd w:val="clear" w:color="auto" w:fill="CCCCCC"/>
          </w:tcPr>
          <w:p w:rsidR="00BB07DE" w:rsidRPr="00C72409" w:rsidRDefault="00BB07DE" w:rsidP="001C2C30">
            <w:pPr>
              <w:tabs>
                <w:tab w:val="decimal" w:pos="540"/>
              </w:tabs>
              <w:rPr>
                <w:rFonts w:ascii="Verdana" w:hAnsi="Verdana"/>
                <w:sz w:val="18"/>
                <w:szCs w:val="18"/>
              </w:rPr>
            </w:pPr>
          </w:p>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15,301.0</w:t>
            </w:r>
          </w:p>
        </w:tc>
        <w:tc>
          <w:tcPr>
            <w:tcW w:w="957" w:type="dxa"/>
            <w:shd w:val="clear" w:color="auto" w:fill="auto"/>
          </w:tcPr>
          <w:p w:rsidR="00BB07DE" w:rsidRPr="00C72409" w:rsidRDefault="00BB07DE" w:rsidP="001C2C30">
            <w:pPr>
              <w:tabs>
                <w:tab w:val="decimal" w:pos="540"/>
              </w:tabs>
              <w:rPr>
                <w:rFonts w:ascii="Verdana" w:hAnsi="Verdana"/>
                <w:sz w:val="18"/>
                <w:szCs w:val="18"/>
              </w:rPr>
            </w:pPr>
          </w:p>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15,322.1</w:t>
            </w:r>
          </w:p>
        </w:tc>
        <w:tc>
          <w:tcPr>
            <w:tcW w:w="969" w:type="dxa"/>
          </w:tcPr>
          <w:p w:rsidR="00BB07DE" w:rsidRPr="00C72409" w:rsidRDefault="00BB07DE" w:rsidP="001C2C30">
            <w:pPr>
              <w:tabs>
                <w:tab w:val="decimal" w:pos="540"/>
              </w:tabs>
              <w:rPr>
                <w:rFonts w:ascii="Verdana" w:hAnsi="Verdana"/>
                <w:sz w:val="18"/>
                <w:szCs w:val="18"/>
              </w:rPr>
            </w:pPr>
          </w:p>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15,025.6</w:t>
            </w:r>
          </w:p>
        </w:tc>
        <w:tc>
          <w:tcPr>
            <w:tcW w:w="1013" w:type="dxa"/>
          </w:tcPr>
          <w:p w:rsidR="00BB07DE" w:rsidRPr="00C72409" w:rsidRDefault="00BB07DE" w:rsidP="001C2C30">
            <w:pPr>
              <w:tabs>
                <w:tab w:val="decimal" w:pos="505"/>
              </w:tabs>
              <w:rPr>
                <w:rFonts w:ascii="Verdana" w:hAnsi="Verdana"/>
                <w:sz w:val="18"/>
                <w:szCs w:val="18"/>
              </w:rPr>
            </w:pPr>
          </w:p>
          <w:p w:rsidR="00BB07DE" w:rsidRPr="00C72409" w:rsidRDefault="00BB07DE" w:rsidP="001C2C30">
            <w:pPr>
              <w:tabs>
                <w:tab w:val="decimal" w:pos="505"/>
              </w:tabs>
              <w:rPr>
                <w:rFonts w:ascii="Verdana" w:hAnsi="Verdana"/>
                <w:sz w:val="18"/>
                <w:szCs w:val="18"/>
              </w:rPr>
            </w:pPr>
            <w:r w:rsidRPr="00C72409">
              <w:rPr>
                <w:rFonts w:ascii="Verdana" w:hAnsi="Verdana"/>
                <w:sz w:val="18"/>
                <w:szCs w:val="18"/>
              </w:rPr>
              <w:t>14,627.7</w:t>
            </w:r>
          </w:p>
        </w:tc>
        <w:tc>
          <w:tcPr>
            <w:tcW w:w="992" w:type="dxa"/>
          </w:tcPr>
          <w:p w:rsidR="00BB07DE" w:rsidRPr="00C72409" w:rsidRDefault="00BB07DE" w:rsidP="001C2C30">
            <w:pPr>
              <w:tabs>
                <w:tab w:val="decimal" w:pos="505"/>
              </w:tabs>
              <w:rPr>
                <w:rFonts w:ascii="Verdana" w:hAnsi="Verdana"/>
                <w:sz w:val="18"/>
                <w:szCs w:val="18"/>
              </w:rPr>
            </w:pPr>
          </w:p>
          <w:p w:rsidR="00BB07DE" w:rsidRPr="00C72409" w:rsidRDefault="00BB07DE" w:rsidP="001C2C30">
            <w:pPr>
              <w:tabs>
                <w:tab w:val="decimal" w:pos="505"/>
              </w:tabs>
              <w:rPr>
                <w:rFonts w:ascii="Verdana" w:hAnsi="Verdana"/>
                <w:sz w:val="18"/>
                <w:szCs w:val="18"/>
              </w:rPr>
            </w:pPr>
            <w:r w:rsidRPr="00C72409">
              <w:rPr>
                <w:rFonts w:ascii="Verdana" w:hAnsi="Verdana"/>
                <w:sz w:val="18"/>
                <w:szCs w:val="18"/>
              </w:rPr>
              <w:t>14,198.6</w:t>
            </w:r>
          </w:p>
        </w:tc>
      </w:tr>
      <w:tr w:rsidR="00BB07DE" w:rsidRPr="00C72409" w:rsidTr="001C2C30">
        <w:trPr>
          <w:tblHeader/>
          <w:jc w:val="center"/>
        </w:trPr>
        <w:tc>
          <w:tcPr>
            <w:tcW w:w="4644" w:type="dxa"/>
          </w:tcPr>
          <w:p w:rsidR="00BB07DE" w:rsidRPr="00C72409" w:rsidRDefault="00BB07DE" w:rsidP="001C2C30">
            <w:pPr>
              <w:jc w:val="both"/>
              <w:rPr>
                <w:rFonts w:ascii="Verdana" w:hAnsi="Verdana"/>
                <w:sz w:val="18"/>
                <w:szCs w:val="18"/>
              </w:rPr>
            </w:pPr>
            <w:r w:rsidRPr="00C72409">
              <w:rPr>
                <w:rFonts w:ascii="Verdana" w:hAnsi="Verdana"/>
                <w:sz w:val="18"/>
                <w:szCs w:val="18"/>
              </w:rPr>
              <w:t>Asset revaluation reserve</w:t>
            </w:r>
          </w:p>
        </w:tc>
        <w:tc>
          <w:tcPr>
            <w:tcW w:w="957" w:type="dxa"/>
            <w:shd w:val="clear" w:color="auto" w:fill="CCCCCC"/>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13,300.2</w:t>
            </w:r>
          </w:p>
        </w:tc>
        <w:tc>
          <w:tcPr>
            <w:tcW w:w="957" w:type="dxa"/>
            <w:shd w:val="clear" w:color="auto" w:fill="auto"/>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11,017.7</w:t>
            </w:r>
          </w:p>
        </w:tc>
        <w:tc>
          <w:tcPr>
            <w:tcW w:w="969" w:type="dxa"/>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11,067.1</w:t>
            </w:r>
          </w:p>
        </w:tc>
        <w:tc>
          <w:tcPr>
            <w:tcW w:w="1013" w:type="dxa"/>
          </w:tcPr>
          <w:p w:rsidR="00BB07DE" w:rsidRPr="00C72409" w:rsidRDefault="00BB07DE" w:rsidP="001C2C30">
            <w:pPr>
              <w:tabs>
                <w:tab w:val="decimal" w:pos="505"/>
              </w:tabs>
              <w:rPr>
                <w:rFonts w:ascii="Verdana" w:hAnsi="Verdana"/>
                <w:sz w:val="18"/>
                <w:szCs w:val="18"/>
              </w:rPr>
            </w:pPr>
            <w:r w:rsidRPr="00C72409">
              <w:rPr>
                <w:rFonts w:ascii="Verdana" w:hAnsi="Verdana"/>
                <w:sz w:val="18"/>
                <w:szCs w:val="18"/>
              </w:rPr>
              <w:t>7,594.5</w:t>
            </w:r>
          </w:p>
        </w:tc>
        <w:tc>
          <w:tcPr>
            <w:tcW w:w="992" w:type="dxa"/>
          </w:tcPr>
          <w:p w:rsidR="00BB07DE" w:rsidRPr="00C72409" w:rsidRDefault="00BB07DE" w:rsidP="001C2C30">
            <w:pPr>
              <w:tabs>
                <w:tab w:val="decimal" w:pos="505"/>
              </w:tabs>
              <w:rPr>
                <w:rFonts w:ascii="Verdana" w:hAnsi="Verdana"/>
                <w:sz w:val="18"/>
                <w:szCs w:val="18"/>
              </w:rPr>
            </w:pPr>
            <w:r w:rsidRPr="00C72409">
              <w:rPr>
                <w:rFonts w:ascii="Verdana" w:hAnsi="Verdana"/>
                <w:sz w:val="18"/>
                <w:szCs w:val="18"/>
              </w:rPr>
              <w:t>7,594.5</w:t>
            </w:r>
          </w:p>
        </w:tc>
      </w:tr>
      <w:tr w:rsidR="00BB07DE" w:rsidRPr="00C72409" w:rsidTr="001C2C30">
        <w:trPr>
          <w:tblHeader/>
          <w:jc w:val="center"/>
        </w:trPr>
        <w:tc>
          <w:tcPr>
            <w:tcW w:w="4644" w:type="dxa"/>
          </w:tcPr>
          <w:p w:rsidR="00BB07DE" w:rsidRPr="00C72409" w:rsidRDefault="00BB07DE" w:rsidP="001C2C30">
            <w:pPr>
              <w:jc w:val="both"/>
              <w:rPr>
                <w:rFonts w:ascii="Verdana" w:hAnsi="Verdana"/>
                <w:sz w:val="18"/>
                <w:szCs w:val="18"/>
              </w:rPr>
            </w:pPr>
            <w:r w:rsidRPr="00C72409">
              <w:rPr>
                <w:rFonts w:ascii="Verdana" w:hAnsi="Verdana"/>
                <w:sz w:val="18"/>
                <w:szCs w:val="18"/>
              </w:rPr>
              <w:t>Accumulated surplus/(deficit)</w:t>
            </w:r>
          </w:p>
        </w:tc>
        <w:tc>
          <w:tcPr>
            <w:tcW w:w="957" w:type="dxa"/>
            <w:shd w:val="clear" w:color="auto" w:fill="CCCCCC"/>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16,116.1</w:t>
            </w:r>
          </w:p>
        </w:tc>
        <w:tc>
          <w:tcPr>
            <w:tcW w:w="957" w:type="dxa"/>
            <w:shd w:val="clear" w:color="auto" w:fill="auto"/>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15,616.7</w:t>
            </w:r>
          </w:p>
        </w:tc>
        <w:tc>
          <w:tcPr>
            <w:tcW w:w="969" w:type="dxa"/>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15,391.8</w:t>
            </w:r>
          </w:p>
        </w:tc>
        <w:tc>
          <w:tcPr>
            <w:tcW w:w="1013" w:type="dxa"/>
          </w:tcPr>
          <w:p w:rsidR="00BB07DE" w:rsidRPr="00C72409" w:rsidRDefault="00BB07DE" w:rsidP="001C2C30">
            <w:pPr>
              <w:tabs>
                <w:tab w:val="decimal" w:pos="505"/>
              </w:tabs>
              <w:rPr>
                <w:rFonts w:ascii="Verdana" w:hAnsi="Verdana"/>
                <w:sz w:val="18"/>
                <w:szCs w:val="18"/>
              </w:rPr>
            </w:pPr>
            <w:r w:rsidRPr="00C72409">
              <w:rPr>
                <w:rFonts w:ascii="Verdana" w:hAnsi="Verdana"/>
                <w:sz w:val="18"/>
                <w:szCs w:val="18"/>
              </w:rPr>
              <w:t xml:space="preserve">15,120.4 </w:t>
            </w:r>
            <w:r w:rsidRPr="00C72409">
              <w:rPr>
                <w:rFonts w:ascii="Verdana" w:hAnsi="Verdana"/>
                <w:sz w:val="18"/>
                <w:szCs w:val="18"/>
                <w:vertAlign w:val="superscript"/>
              </w:rPr>
              <w:t>*</w:t>
            </w:r>
          </w:p>
        </w:tc>
        <w:tc>
          <w:tcPr>
            <w:tcW w:w="992" w:type="dxa"/>
          </w:tcPr>
          <w:p w:rsidR="00BB07DE" w:rsidRPr="00C72409" w:rsidRDefault="00BB07DE" w:rsidP="001C2C30">
            <w:pPr>
              <w:tabs>
                <w:tab w:val="decimal" w:pos="505"/>
              </w:tabs>
              <w:rPr>
                <w:rFonts w:ascii="Verdana" w:hAnsi="Verdana"/>
                <w:sz w:val="18"/>
                <w:szCs w:val="18"/>
              </w:rPr>
            </w:pPr>
            <w:r w:rsidRPr="00C72409">
              <w:rPr>
                <w:rFonts w:ascii="Verdana" w:hAnsi="Verdana"/>
                <w:sz w:val="18"/>
                <w:szCs w:val="18"/>
              </w:rPr>
              <w:t>413.5</w:t>
            </w:r>
          </w:p>
        </w:tc>
      </w:tr>
      <w:tr w:rsidR="00BB07DE" w:rsidRPr="00C72409" w:rsidTr="001C2C30">
        <w:trPr>
          <w:tblHeader/>
          <w:jc w:val="center"/>
        </w:trPr>
        <w:tc>
          <w:tcPr>
            <w:tcW w:w="4644" w:type="dxa"/>
          </w:tcPr>
          <w:p w:rsidR="00BB07DE" w:rsidRPr="00C72409" w:rsidRDefault="00BB07DE" w:rsidP="001C2C30">
            <w:pPr>
              <w:jc w:val="both"/>
              <w:rPr>
                <w:rFonts w:ascii="Verdana" w:hAnsi="Verdana"/>
                <w:sz w:val="18"/>
                <w:szCs w:val="18"/>
              </w:rPr>
            </w:pPr>
            <w:r w:rsidRPr="00C72409">
              <w:rPr>
                <w:rFonts w:ascii="Verdana" w:hAnsi="Verdana"/>
                <w:sz w:val="18"/>
                <w:szCs w:val="18"/>
              </w:rPr>
              <w:t>NET WORTH</w:t>
            </w:r>
          </w:p>
        </w:tc>
        <w:tc>
          <w:tcPr>
            <w:tcW w:w="957" w:type="dxa"/>
            <w:shd w:val="clear" w:color="auto" w:fill="CCCCCC"/>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44,717.3</w:t>
            </w:r>
          </w:p>
        </w:tc>
        <w:tc>
          <w:tcPr>
            <w:tcW w:w="957" w:type="dxa"/>
            <w:shd w:val="clear" w:color="auto" w:fill="auto"/>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41,956.5</w:t>
            </w:r>
          </w:p>
        </w:tc>
        <w:tc>
          <w:tcPr>
            <w:tcW w:w="969" w:type="dxa"/>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41,484.5</w:t>
            </w:r>
          </w:p>
        </w:tc>
        <w:tc>
          <w:tcPr>
            <w:tcW w:w="1013" w:type="dxa"/>
          </w:tcPr>
          <w:p w:rsidR="00BB07DE" w:rsidRPr="00C72409" w:rsidRDefault="00BB07DE" w:rsidP="001C2C30">
            <w:pPr>
              <w:tabs>
                <w:tab w:val="decimal" w:pos="505"/>
              </w:tabs>
              <w:rPr>
                <w:rFonts w:ascii="Verdana" w:hAnsi="Verdana"/>
                <w:sz w:val="18"/>
                <w:szCs w:val="18"/>
              </w:rPr>
            </w:pPr>
            <w:r w:rsidRPr="00C72409">
              <w:rPr>
                <w:rFonts w:ascii="Verdana" w:hAnsi="Verdana"/>
                <w:sz w:val="18"/>
                <w:szCs w:val="18"/>
              </w:rPr>
              <w:t>37,342.6</w:t>
            </w:r>
          </w:p>
        </w:tc>
        <w:tc>
          <w:tcPr>
            <w:tcW w:w="992" w:type="dxa"/>
          </w:tcPr>
          <w:p w:rsidR="00BB07DE" w:rsidRPr="00C72409" w:rsidRDefault="00BB07DE" w:rsidP="001C2C30">
            <w:pPr>
              <w:tabs>
                <w:tab w:val="decimal" w:pos="505"/>
              </w:tabs>
              <w:rPr>
                <w:rFonts w:ascii="Verdana" w:hAnsi="Verdana"/>
                <w:sz w:val="18"/>
                <w:szCs w:val="18"/>
              </w:rPr>
            </w:pPr>
            <w:r w:rsidRPr="00C72409">
              <w:rPr>
                <w:rFonts w:ascii="Verdana" w:hAnsi="Verdana"/>
                <w:sz w:val="18"/>
                <w:szCs w:val="18"/>
              </w:rPr>
              <w:t>22,206.6</w:t>
            </w:r>
          </w:p>
        </w:tc>
      </w:tr>
      <w:tr w:rsidR="00BB07DE" w:rsidRPr="00C72409" w:rsidTr="001C2C30">
        <w:trPr>
          <w:tblHeader/>
          <w:jc w:val="center"/>
        </w:trPr>
        <w:tc>
          <w:tcPr>
            <w:tcW w:w="4644" w:type="dxa"/>
          </w:tcPr>
          <w:p w:rsidR="00BB07DE" w:rsidRPr="00C72409" w:rsidRDefault="00BB07DE" w:rsidP="001C2C30">
            <w:pPr>
              <w:jc w:val="both"/>
              <w:rPr>
                <w:rFonts w:ascii="Verdana" w:hAnsi="Verdana"/>
                <w:sz w:val="18"/>
                <w:szCs w:val="18"/>
              </w:rPr>
            </w:pPr>
          </w:p>
        </w:tc>
        <w:tc>
          <w:tcPr>
            <w:tcW w:w="957" w:type="dxa"/>
            <w:shd w:val="clear" w:color="auto" w:fill="CCCCCC"/>
          </w:tcPr>
          <w:p w:rsidR="00BB07DE" w:rsidRPr="00C72409" w:rsidRDefault="00BB07DE" w:rsidP="001C2C30">
            <w:pPr>
              <w:tabs>
                <w:tab w:val="decimal" w:pos="399"/>
              </w:tabs>
              <w:rPr>
                <w:rFonts w:ascii="Verdana" w:hAnsi="Verdana"/>
                <w:sz w:val="18"/>
                <w:szCs w:val="18"/>
              </w:rPr>
            </w:pPr>
          </w:p>
        </w:tc>
        <w:tc>
          <w:tcPr>
            <w:tcW w:w="957" w:type="dxa"/>
            <w:shd w:val="clear" w:color="auto" w:fill="auto"/>
          </w:tcPr>
          <w:p w:rsidR="00BB07DE" w:rsidRPr="00C72409" w:rsidRDefault="00BB07DE" w:rsidP="001C2C30">
            <w:pPr>
              <w:tabs>
                <w:tab w:val="decimal" w:pos="399"/>
              </w:tabs>
              <w:rPr>
                <w:rFonts w:ascii="Verdana" w:hAnsi="Verdana"/>
                <w:sz w:val="18"/>
                <w:szCs w:val="18"/>
              </w:rPr>
            </w:pPr>
          </w:p>
        </w:tc>
        <w:tc>
          <w:tcPr>
            <w:tcW w:w="969" w:type="dxa"/>
          </w:tcPr>
          <w:p w:rsidR="00BB07DE" w:rsidRPr="00C72409" w:rsidRDefault="00BB07DE" w:rsidP="001C2C30">
            <w:pPr>
              <w:tabs>
                <w:tab w:val="decimal" w:pos="399"/>
              </w:tabs>
              <w:rPr>
                <w:rFonts w:ascii="Verdana" w:hAnsi="Verdana"/>
                <w:sz w:val="18"/>
                <w:szCs w:val="18"/>
              </w:rPr>
            </w:pPr>
          </w:p>
        </w:tc>
        <w:tc>
          <w:tcPr>
            <w:tcW w:w="1013" w:type="dxa"/>
          </w:tcPr>
          <w:p w:rsidR="00BB07DE" w:rsidRPr="00C72409" w:rsidRDefault="00BB07DE" w:rsidP="001C2C30">
            <w:pPr>
              <w:tabs>
                <w:tab w:val="decimal" w:pos="505"/>
              </w:tabs>
              <w:rPr>
                <w:rFonts w:ascii="Verdana" w:hAnsi="Verdana"/>
                <w:sz w:val="18"/>
                <w:szCs w:val="18"/>
              </w:rPr>
            </w:pPr>
          </w:p>
        </w:tc>
        <w:tc>
          <w:tcPr>
            <w:tcW w:w="992" w:type="dxa"/>
          </w:tcPr>
          <w:p w:rsidR="00BB07DE" w:rsidRPr="00C72409" w:rsidRDefault="00BB07DE" w:rsidP="001C2C30">
            <w:pPr>
              <w:tabs>
                <w:tab w:val="decimal" w:pos="505"/>
              </w:tabs>
              <w:rPr>
                <w:rFonts w:ascii="Verdana" w:hAnsi="Verdana"/>
                <w:sz w:val="18"/>
                <w:szCs w:val="18"/>
              </w:rPr>
            </w:pPr>
          </w:p>
        </w:tc>
      </w:tr>
      <w:tr w:rsidR="00BB07DE" w:rsidRPr="00C72409" w:rsidTr="001C2C30">
        <w:trPr>
          <w:tblHeader/>
          <w:jc w:val="center"/>
        </w:trPr>
        <w:tc>
          <w:tcPr>
            <w:tcW w:w="4644" w:type="dxa"/>
          </w:tcPr>
          <w:p w:rsidR="00BB07DE" w:rsidRPr="00C72409" w:rsidRDefault="00BB07DE" w:rsidP="001C2C30">
            <w:pPr>
              <w:rPr>
                <w:rFonts w:ascii="Verdana" w:hAnsi="Verdana"/>
                <w:b/>
                <w:sz w:val="18"/>
                <w:szCs w:val="18"/>
              </w:rPr>
            </w:pPr>
            <w:r w:rsidRPr="00C72409">
              <w:rPr>
                <w:rFonts w:ascii="Verdana" w:hAnsi="Verdana"/>
                <w:b/>
                <w:sz w:val="18"/>
                <w:szCs w:val="18"/>
              </w:rPr>
              <w:t>ASSETS AND LIABILITIES ADMINISTERED ON BEHALF OF THE VICTORIAN GOVERNMENT</w:t>
            </w:r>
          </w:p>
        </w:tc>
        <w:tc>
          <w:tcPr>
            <w:tcW w:w="957" w:type="dxa"/>
            <w:shd w:val="clear" w:color="auto" w:fill="CCCCCC"/>
          </w:tcPr>
          <w:p w:rsidR="00BB07DE" w:rsidRPr="00C72409" w:rsidRDefault="00BB07DE" w:rsidP="001C2C30">
            <w:pPr>
              <w:tabs>
                <w:tab w:val="decimal" w:pos="540"/>
              </w:tabs>
              <w:rPr>
                <w:rFonts w:ascii="Verdana" w:hAnsi="Verdana"/>
                <w:sz w:val="18"/>
                <w:szCs w:val="18"/>
              </w:rPr>
            </w:pPr>
          </w:p>
        </w:tc>
        <w:tc>
          <w:tcPr>
            <w:tcW w:w="957" w:type="dxa"/>
            <w:shd w:val="clear" w:color="auto" w:fill="auto"/>
          </w:tcPr>
          <w:p w:rsidR="00BB07DE" w:rsidRPr="00C72409" w:rsidRDefault="00BB07DE" w:rsidP="001C2C30">
            <w:pPr>
              <w:tabs>
                <w:tab w:val="decimal" w:pos="540"/>
              </w:tabs>
              <w:rPr>
                <w:rFonts w:ascii="Verdana" w:hAnsi="Verdana"/>
                <w:sz w:val="18"/>
                <w:szCs w:val="18"/>
              </w:rPr>
            </w:pPr>
          </w:p>
        </w:tc>
        <w:tc>
          <w:tcPr>
            <w:tcW w:w="969" w:type="dxa"/>
          </w:tcPr>
          <w:p w:rsidR="00BB07DE" w:rsidRPr="00C72409" w:rsidRDefault="00BB07DE" w:rsidP="001C2C30">
            <w:pPr>
              <w:tabs>
                <w:tab w:val="decimal" w:pos="540"/>
              </w:tabs>
              <w:rPr>
                <w:rFonts w:ascii="Verdana" w:hAnsi="Verdana"/>
                <w:sz w:val="18"/>
                <w:szCs w:val="18"/>
              </w:rPr>
            </w:pPr>
          </w:p>
        </w:tc>
        <w:tc>
          <w:tcPr>
            <w:tcW w:w="1013" w:type="dxa"/>
          </w:tcPr>
          <w:p w:rsidR="00BB07DE" w:rsidRPr="00C72409" w:rsidRDefault="00BB07DE" w:rsidP="001C2C30">
            <w:pPr>
              <w:tabs>
                <w:tab w:val="decimal" w:pos="505"/>
              </w:tabs>
              <w:rPr>
                <w:rFonts w:ascii="Verdana" w:hAnsi="Verdana"/>
                <w:sz w:val="18"/>
                <w:szCs w:val="18"/>
              </w:rPr>
            </w:pPr>
          </w:p>
        </w:tc>
        <w:tc>
          <w:tcPr>
            <w:tcW w:w="992" w:type="dxa"/>
          </w:tcPr>
          <w:p w:rsidR="00BB07DE" w:rsidRPr="00C72409" w:rsidRDefault="00BB07DE" w:rsidP="001C2C30">
            <w:pPr>
              <w:tabs>
                <w:tab w:val="decimal" w:pos="505"/>
              </w:tabs>
              <w:rPr>
                <w:rFonts w:ascii="Verdana" w:hAnsi="Verdana"/>
                <w:sz w:val="18"/>
                <w:szCs w:val="18"/>
              </w:rPr>
            </w:pPr>
          </w:p>
        </w:tc>
      </w:tr>
      <w:tr w:rsidR="00BB07DE" w:rsidRPr="00C72409" w:rsidTr="001C2C30">
        <w:trPr>
          <w:tblHeader/>
          <w:jc w:val="center"/>
        </w:trPr>
        <w:tc>
          <w:tcPr>
            <w:tcW w:w="4644" w:type="dxa"/>
          </w:tcPr>
          <w:p w:rsidR="00BB07DE" w:rsidRPr="00C72409" w:rsidRDefault="00BB07DE" w:rsidP="001C2C30">
            <w:pPr>
              <w:rPr>
                <w:rFonts w:ascii="Verdana" w:hAnsi="Verdana"/>
                <w:sz w:val="18"/>
                <w:szCs w:val="18"/>
              </w:rPr>
            </w:pPr>
            <w:r w:rsidRPr="00C72409">
              <w:rPr>
                <w:rFonts w:ascii="Verdana" w:hAnsi="Verdana"/>
                <w:sz w:val="18"/>
                <w:szCs w:val="18"/>
              </w:rPr>
              <w:t>Total assets</w:t>
            </w:r>
          </w:p>
        </w:tc>
        <w:tc>
          <w:tcPr>
            <w:tcW w:w="957" w:type="dxa"/>
            <w:shd w:val="clear" w:color="auto" w:fill="CCCCCC"/>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0.0</w:t>
            </w:r>
          </w:p>
        </w:tc>
        <w:tc>
          <w:tcPr>
            <w:tcW w:w="957" w:type="dxa"/>
            <w:shd w:val="clear" w:color="auto" w:fill="auto"/>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0.0</w:t>
            </w:r>
          </w:p>
        </w:tc>
        <w:tc>
          <w:tcPr>
            <w:tcW w:w="969" w:type="dxa"/>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0.0</w:t>
            </w:r>
          </w:p>
        </w:tc>
        <w:tc>
          <w:tcPr>
            <w:tcW w:w="1013" w:type="dxa"/>
          </w:tcPr>
          <w:p w:rsidR="00BB07DE" w:rsidRPr="00C72409" w:rsidRDefault="00BB07DE" w:rsidP="001C2C30">
            <w:pPr>
              <w:tabs>
                <w:tab w:val="decimal" w:pos="505"/>
              </w:tabs>
              <w:rPr>
                <w:rFonts w:ascii="Verdana" w:hAnsi="Verdana"/>
                <w:sz w:val="18"/>
                <w:szCs w:val="18"/>
              </w:rPr>
            </w:pPr>
            <w:r w:rsidRPr="00C72409">
              <w:rPr>
                <w:rFonts w:ascii="Verdana" w:hAnsi="Verdana"/>
                <w:sz w:val="18"/>
                <w:szCs w:val="18"/>
              </w:rPr>
              <w:t>59.7</w:t>
            </w:r>
          </w:p>
        </w:tc>
        <w:tc>
          <w:tcPr>
            <w:tcW w:w="992" w:type="dxa"/>
          </w:tcPr>
          <w:p w:rsidR="00BB07DE" w:rsidRPr="00C72409" w:rsidRDefault="00BB07DE" w:rsidP="001C2C30">
            <w:pPr>
              <w:tabs>
                <w:tab w:val="decimal" w:pos="505"/>
              </w:tabs>
              <w:rPr>
                <w:rFonts w:ascii="Verdana" w:hAnsi="Verdana"/>
                <w:sz w:val="18"/>
                <w:szCs w:val="18"/>
              </w:rPr>
            </w:pPr>
            <w:r w:rsidRPr="00C72409">
              <w:rPr>
                <w:rFonts w:ascii="Verdana" w:hAnsi="Verdana"/>
                <w:sz w:val="18"/>
                <w:szCs w:val="18"/>
              </w:rPr>
              <w:t>193.9</w:t>
            </w:r>
          </w:p>
        </w:tc>
      </w:tr>
      <w:tr w:rsidR="00BB07DE" w:rsidRPr="00C72409" w:rsidTr="001C2C30">
        <w:trPr>
          <w:tblHeader/>
          <w:jc w:val="center"/>
        </w:trPr>
        <w:tc>
          <w:tcPr>
            <w:tcW w:w="4644" w:type="dxa"/>
          </w:tcPr>
          <w:p w:rsidR="00BB07DE" w:rsidRPr="00C72409" w:rsidRDefault="00BB07DE" w:rsidP="001C2C30">
            <w:pPr>
              <w:jc w:val="both"/>
              <w:rPr>
                <w:rFonts w:ascii="Verdana" w:hAnsi="Verdana"/>
                <w:sz w:val="18"/>
                <w:szCs w:val="18"/>
              </w:rPr>
            </w:pPr>
            <w:r w:rsidRPr="00C72409">
              <w:rPr>
                <w:rFonts w:ascii="Verdana" w:hAnsi="Verdana"/>
                <w:sz w:val="18"/>
                <w:szCs w:val="18"/>
              </w:rPr>
              <w:t>Total liabilities</w:t>
            </w:r>
          </w:p>
        </w:tc>
        <w:tc>
          <w:tcPr>
            <w:tcW w:w="957" w:type="dxa"/>
            <w:shd w:val="clear" w:color="auto" w:fill="CCCCCC"/>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346.4</w:t>
            </w:r>
          </w:p>
        </w:tc>
        <w:tc>
          <w:tcPr>
            <w:tcW w:w="957" w:type="dxa"/>
            <w:shd w:val="clear" w:color="auto" w:fill="auto"/>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341.2</w:t>
            </w:r>
          </w:p>
        </w:tc>
        <w:tc>
          <w:tcPr>
            <w:tcW w:w="969" w:type="dxa"/>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336.9</w:t>
            </w:r>
          </w:p>
        </w:tc>
        <w:tc>
          <w:tcPr>
            <w:tcW w:w="1013" w:type="dxa"/>
          </w:tcPr>
          <w:p w:rsidR="00BB07DE" w:rsidRPr="00C72409" w:rsidRDefault="00BB07DE" w:rsidP="001C2C30">
            <w:pPr>
              <w:tabs>
                <w:tab w:val="decimal" w:pos="505"/>
              </w:tabs>
              <w:rPr>
                <w:rFonts w:ascii="Verdana" w:hAnsi="Verdana"/>
                <w:sz w:val="18"/>
                <w:szCs w:val="18"/>
              </w:rPr>
            </w:pPr>
            <w:r w:rsidRPr="00C72409">
              <w:rPr>
                <w:rFonts w:ascii="Verdana" w:hAnsi="Verdana"/>
                <w:sz w:val="18"/>
                <w:szCs w:val="18"/>
              </w:rPr>
              <w:t>331.2</w:t>
            </w:r>
          </w:p>
        </w:tc>
        <w:tc>
          <w:tcPr>
            <w:tcW w:w="992" w:type="dxa"/>
          </w:tcPr>
          <w:p w:rsidR="00BB07DE" w:rsidRPr="00C72409" w:rsidRDefault="00BB07DE" w:rsidP="001C2C30">
            <w:pPr>
              <w:tabs>
                <w:tab w:val="decimal" w:pos="505"/>
              </w:tabs>
              <w:rPr>
                <w:rFonts w:ascii="Verdana" w:hAnsi="Verdana"/>
                <w:sz w:val="18"/>
                <w:szCs w:val="18"/>
              </w:rPr>
            </w:pPr>
            <w:r w:rsidRPr="00C72409">
              <w:rPr>
                <w:rFonts w:ascii="Verdana" w:hAnsi="Verdana"/>
                <w:sz w:val="18"/>
                <w:szCs w:val="18"/>
              </w:rPr>
              <w:t>325.0</w:t>
            </w:r>
          </w:p>
        </w:tc>
      </w:tr>
      <w:tr w:rsidR="00BB07DE" w:rsidRPr="00C72409" w:rsidTr="001C2C30">
        <w:trPr>
          <w:tblHeader/>
          <w:jc w:val="center"/>
        </w:trPr>
        <w:tc>
          <w:tcPr>
            <w:tcW w:w="4644" w:type="dxa"/>
          </w:tcPr>
          <w:p w:rsidR="00BB07DE" w:rsidRPr="00C72409" w:rsidRDefault="00BB07DE" w:rsidP="001C2C30">
            <w:pPr>
              <w:jc w:val="both"/>
              <w:rPr>
                <w:rFonts w:ascii="Verdana" w:hAnsi="Verdana"/>
                <w:b/>
                <w:sz w:val="18"/>
                <w:szCs w:val="18"/>
              </w:rPr>
            </w:pPr>
            <w:r w:rsidRPr="00C72409">
              <w:rPr>
                <w:rFonts w:ascii="Verdana" w:hAnsi="Verdana"/>
                <w:sz w:val="18"/>
                <w:szCs w:val="18"/>
              </w:rPr>
              <w:t>NET ASSETS</w:t>
            </w:r>
          </w:p>
        </w:tc>
        <w:tc>
          <w:tcPr>
            <w:tcW w:w="957" w:type="dxa"/>
            <w:shd w:val="clear" w:color="auto" w:fill="CCCCCC"/>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(346.4)</w:t>
            </w:r>
          </w:p>
        </w:tc>
        <w:tc>
          <w:tcPr>
            <w:tcW w:w="957" w:type="dxa"/>
            <w:shd w:val="clear" w:color="auto" w:fill="auto"/>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(341.2)</w:t>
            </w:r>
          </w:p>
        </w:tc>
        <w:tc>
          <w:tcPr>
            <w:tcW w:w="969" w:type="dxa"/>
          </w:tcPr>
          <w:p w:rsidR="00BB07DE" w:rsidRPr="00C72409" w:rsidRDefault="00BB07DE" w:rsidP="001C2C30">
            <w:pPr>
              <w:tabs>
                <w:tab w:val="decimal" w:pos="540"/>
              </w:tabs>
              <w:rPr>
                <w:rFonts w:ascii="Verdana" w:hAnsi="Verdana"/>
                <w:sz w:val="18"/>
                <w:szCs w:val="18"/>
              </w:rPr>
            </w:pPr>
            <w:r w:rsidRPr="00C72409">
              <w:rPr>
                <w:rFonts w:ascii="Verdana" w:hAnsi="Verdana"/>
                <w:sz w:val="18"/>
                <w:szCs w:val="18"/>
              </w:rPr>
              <w:t>(336.9)</w:t>
            </w:r>
          </w:p>
        </w:tc>
        <w:tc>
          <w:tcPr>
            <w:tcW w:w="1013" w:type="dxa"/>
          </w:tcPr>
          <w:p w:rsidR="00BB07DE" w:rsidRPr="00C72409" w:rsidRDefault="00BB07DE" w:rsidP="001C2C30">
            <w:pPr>
              <w:tabs>
                <w:tab w:val="decimal" w:pos="505"/>
              </w:tabs>
              <w:rPr>
                <w:rFonts w:ascii="Verdana" w:hAnsi="Verdana"/>
                <w:sz w:val="18"/>
                <w:szCs w:val="18"/>
              </w:rPr>
            </w:pPr>
            <w:r w:rsidRPr="00C72409">
              <w:rPr>
                <w:rFonts w:ascii="Verdana" w:hAnsi="Verdana"/>
                <w:sz w:val="18"/>
                <w:szCs w:val="18"/>
              </w:rPr>
              <w:t>(271.5)</w:t>
            </w:r>
          </w:p>
        </w:tc>
        <w:tc>
          <w:tcPr>
            <w:tcW w:w="992" w:type="dxa"/>
          </w:tcPr>
          <w:p w:rsidR="00BB07DE" w:rsidRPr="00C72409" w:rsidRDefault="00BB07DE" w:rsidP="001C2C30">
            <w:pPr>
              <w:tabs>
                <w:tab w:val="decimal" w:pos="505"/>
              </w:tabs>
              <w:rPr>
                <w:rFonts w:ascii="Verdana" w:hAnsi="Verdana"/>
                <w:sz w:val="18"/>
                <w:szCs w:val="18"/>
              </w:rPr>
            </w:pPr>
            <w:r w:rsidRPr="00C72409">
              <w:rPr>
                <w:rFonts w:ascii="Verdana" w:hAnsi="Verdana"/>
                <w:sz w:val="18"/>
                <w:szCs w:val="18"/>
              </w:rPr>
              <w:t>(131.1)</w:t>
            </w:r>
          </w:p>
        </w:tc>
      </w:tr>
    </w:tbl>
    <w:p w:rsidR="00BB07DE" w:rsidRDefault="00BB07DE" w:rsidP="00BB07DE">
      <w:pPr>
        <w:tabs>
          <w:tab w:val="left" w:pos="284"/>
        </w:tabs>
        <w:spacing w:before="120"/>
        <w:rPr>
          <w:rFonts w:ascii="Verdana" w:hAnsi="Verdana"/>
          <w:sz w:val="14"/>
          <w:szCs w:val="14"/>
        </w:rPr>
      </w:pPr>
    </w:p>
    <w:p w:rsidR="00BB07DE" w:rsidRDefault="00BB07DE" w:rsidP="00BB07DE">
      <w:pPr>
        <w:tabs>
          <w:tab w:val="left" w:pos="284"/>
        </w:tabs>
        <w:spacing w:before="120"/>
        <w:rPr>
          <w:rFonts w:ascii="Verdana" w:hAnsi="Verdana"/>
          <w:sz w:val="14"/>
          <w:szCs w:val="14"/>
        </w:rPr>
      </w:pPr>
      <w:r w:rsidRPr="009C45F9">
        <w:rPr>
          <w:rFonts w:ascii="Verdana" w:hAnsi="Verdana"/>
          <w:sz w:val="14"/>
          <w:szCs w:val="14"/>
        </w:rPr>
        <w:t>* Includes recognition of land under declared roads valued at $14.7 billion from 1 July 2008</w:t>
      </w:r>
    </w:p>
    <w:p w:rsidR="00BB07DE" w:rsidRDefault="00BB07DE" w:rsidP="00BB07DE">
      <w:pPr>
        <w:tabs>
          <w:tab w:val="left" w:pos="284"/>
        </w:tabs>
        <w:spacing w:before="120"/>
        <w:rPr>
          <w:rFonts w:ascii="Verdana" w:hAnsi="Verdana"/>
          <w:sz w:val="14"/>
          <w:szCs w:val="14"/>
        </w:rPr>
      </w:pPr>
    </w:p>
    <w:p w:rsidR="00BB07DE" w:rsidRDefault="00BB07DE" w:rsidP="00BB07DE">
      <w:pPr>
        <w:tabs>
          <w:tab w:val="left" w:pos="284"/>
        </w:tabs>
        <w:spacing w:before="120"/>
        <w:rPr>
          <w:rFonts w:ascii="Verdana" w:hAnsi="Verdana"/>
          <w:sz w:val="14"/>
          <w:szCs w:val="14"/>
        </w:rPr>
      </w:pPr>
    </w:p>
    <w:p w:rsidR="00BB07DE" w:rsidRDefault="00BB07DE" w:rsidP="00BB07DE">
      <w:pPr>
        <w:tabs>
          <w:tab w:val="left" w:pos="284"/>
        </w:tabs>
        <w:spacing w:before="120"/>
        <w:rPr>
          <w:rFonts w:ascii="Verdana" w:hAnsi="Verdana"/>
          <w:sz w:val="14"/>
          <w:szCs w:val="14"/>
        </w:rPr>
      </w:pPr>
    </w:p>
    <w:p w:rsidR="00BB07DE" w:rsidRPr="009C45F9" w:rsidRDefault="00BB07DE" w:rsidP="00BB07DE">
      <w:pPr>
        <w:tabs>
          <w:tab w:val="left" w:pos="284"/>
        </w:tabs>
        <w:spacing w:before="120"/>
        <w:rPr>
          <w:rFonts w:ascii="Verdana" w:hAnsi="Verdana"/>
        </w:rPr>
      </w:pPr>
    </w:p>
    <w:p w:rsidR="00BB07DE" w:rsidRPr="009C45F9" w:rsidRDefault="00BB07DE" w:rsidP="00BB07DE">
      <w:pPr>
        <w:tabs>
          <w:tab w:val="left" w:pos="284"/>
        </w:tabs>
        <w:jc w:val="both"/>
        <w:rPr>
          <w:rFonts w:ascii="Verdana" w:hAnsi="Verdana"/>
          <w:sz w:val="20"/>
        </w:rPr>
      </w:pPr>
    </w:p>
    <w:p w:rsidR="00BB07DE" w:rsidRPr="009C45F9" w:rsidRDefault="005E2B89" w:rsidP="00BB07DE">
      <w:pPr>
        <w:tabs>
          <w:tab w:val="left" w:pos="284"/>
        </w:tabs>
        <w:jc w:val="both"/>
        <w:rPr>
          <w:rFonts w:ascii="Verdana" w:hAnsi="Verdana"/>
        </w:rPr>
      </w:pPr>
      <w:r w:rsidRPr="003F6C6C">
        <w:rPr>
          <w:rFonts w:ascii="Verdana" w:hAnsi="Verdan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cRoads funding is derived from the Victorian Government annual budget, program funding from the Transport Accident Commission, revenue from regulatory fees and fee-for-service charges.  Funding for operating outputs and capital works from all sources totalled $2.0 billion during 2011-12, a decrease of $41.1 million on the previous year.&#10;&#10;Graph 1 outlines the finding sources for 2011-12. The breakdown of funds is as follows:&#10;&#10;Federal Government - $712 million, 36 per cent&#10;Victorian Government - $339 million, 17 per cent&#10;Better Roads Victoria Trust - $553 million, 28 per cent&#10;Transport Accident Commission - $102 million, five per cent&#10;Regulatory and other Revenue - $271 million, 14 per cent." style="width:444.75pt;height:382.5pt">
            <v:imagedata r:id="rId7" o:title=""/>
          </v:shape>
        </w:pict>
      </w:r>
    </w:p>
    <w:p w:rsidR="00BB07DE" w:rsidRPr="009C45F9" w:rsidRDefault="00BB07DE" w:rsidP="00BB07DE">
      <w:pPr>
        <w:tabs>
          <w:tab w:val="left" w:pos="284"/>
        </w:tabs>
        <w:jc w:val="both"/>
        <w:rPr>
          <w:rFonts w:ascii="Verdana" w:hAnsi="Verdana"/>
          <w:sz w:val="20"/>
        </w:rPr>
      </w:pPr>
    </w:p>
    <w:p w:rsidR="00BB07DE" w:rsidRPr="009C45F9" w:rsidRDefault="005E2B89" w:rsidP="00BB07DE">
      <w:pPr>
        <w:tabs>
          <w:tab w:val="left" w:pos="284"/>
        </w:tabs>
        <w:jc w:val="both"/>
        <w:rPr>
          <w:rFonts w:ascii="Verdana" w:hAnsi="Verdana"/>
        </w:rPr>
      </w:pPr>
      <w:r w:rsidRPr="003F6C6C">
        <w:rPr>
          <w:rFonts w:ascii="Verdana" w:hAnsi="Verdana"/>
        </w:rPr>
        <w:lastRenderedPageBreak/>
        <w:pict>
          <v:shape id="_x0000_i1026" type="#_x0000_t75" alt="Graph 2 provides an outline of operating output expenditure, including infrustructure depreciation for 2011-12.&#10;&#10;The breakdown illustrated in this graph includes: &#10;&#10;Asset Management - $535 million, 35 per cent&#10;Infrastructure Depreciation - $490 million, 32 per cent&#10;Network Planning and Improvements - $208 million, 14 per cent&#10;Registration and Licensing - $147 million, 10 per cent&#10;Road Safety -  $100 million, 6 per cent&#10;Other Services - $42 million, 3 per cent.&#10;&#10;&#10;&#10;" style="width:444.75pt;height:335.25pt">
            <v:imagedata r:id="rId8" o:title=""/>
          </v:shape>
        </w:pict>
      </w:r>
    </w:p>
    <w:p w:rsidR="00BB07DE" w:rsidRPr="009C45F9" w:rsidRDefault="00BB07DE" w:rsidP="00BB07DE">
      <w:pPr>
        <w:tabs>
          <w:tab w:val="left" w:pos="284"/>
        </w:tabs>
        <w:jc w:val="both"/>
        <w:rPr>
          <w:rFonts w:ascii="Verdana" w:hAnsi="Verdana"/>
          <w:sz w:val="20"/>
        </w:rPr>
      </w:pPr>
    </w:p>
    <w:p w:rsidR="00BB07DE" w:rsidRPr="009C45F9" w:rsidRDefault="00BB07DE" w:rsidP="00BB07DE">
      <w:pPr>
        <w:tabs>
          <w:tab w:val="left" w:pos="284"/>
        </w:tabs>
        <w:jc w:val="both"/>
        <w:rPr>
          <w:rFonts w:ascii="Verdana" w:hAnsi="Verdana"/>
          <w:sz w:val="20"/>
        </w:rPr>
      </w:pPr>
    </w:p>
    <w:p w:rsidR="00BB07DE" w:rsidRPr="009C45F9" w:rsidRDefault="00BB07DE" w:rsidP="00BB07DE">
      <w:pPr>
        <w:tabs>
          <w:tab w:val="left" w:pos="284"/>
        </w:tabs>
        <w:jc w:val="both"/>
        <w:rPr>
          <w:rFonts w:ascii="Verdana" w:hAnsi="Verdana"/>
          <w:sz w:val="20"/>
        </w:rPr>
      </w:pPr>
    </w:p>
    <w:p w:rsidR="00BB07DE" w:rsidRPr="009C45F9" w:rsidRDefault="00BB07DE" w:rsidP="00BB07DE">
      <w:pPr>
        <w:tabs>
          <w:tab w:val="left" w:pos="284"/>
        </w:tabs>
        <w:jc w:val="both"/>
        <w:rPr>
          <w:rFonts w:ascii="Verdana" w:hAnsi="Verdana"/>
          <w:sz w:val="20"/>
        </w:rPr>
      </w:pPr>
    </w:p>
    <w:p w:rsidR="007F007F" w:rsidRPr="00BB07DE" w:rsidRDefault="005E2B89" w:rsidP="007E0B54">
      <w:pPr>
        <w:tabs>
          <w:tab w:val="left" w:pos="284"/>
        </w:tabs>
        <w:jc w:val="both"/>
      </w:pPr>
      <w:r w:rsidRPr="003F6C6C">
        <w:rPr>
          <w:rFonts w:ascii="Verdana" w:hAnsi="Verdana"/>
        </w:rPr>
        <w:pict>
          <v:shape id="_x0000_i1027" type="#_x0000_t75" alt="Figure 3 is a composition of major funding sources for VicRoads including State Government Funding (including Better Roads Victoria and Transport Accident commission funding), Federal Government Funding and other revenue. For more information please refer to the section titled Funding Sources. " style="width:444.75pt;height:322.5pt">
            <v:imagedata r:id="rId9" o:title=""/>
          </v:shape>
        </w:pict>
      </w:r>
    </w:p>
    <w:sectPr w:rsidR="007F007F" w:rsidRPr="00BB07DE" w:rsidSect="007E0B54">
      <w:headerReference w:type="default" r:id="rId10"/>
      <w:footerReference w:type="default" r:id="rId11"/>
      <w:pgSz w:w="11906" w:h="16838" w:code="9"/>
      <w:pgMar w:top="323" w:right="1134" w:bottom="737" w:left="1134" w:header="425"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103" w:rsidRDefault="00B43103">
      <w:r>
        <w:separator/>
      </w:r>
    </w:p>
  </w:endnote>
  <w:endnote w:type="continuationSeparator" w:id="0">
    <w:p w:rsidR="00B43103" w:rsidRDefault="00B43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IN-Bold">
    <w:panose1 w:val="00000000000000000000"/>
    <w:charset w:val="00"/>
    <w:family w:val="auto"/>
    <w:notTrueType/>
    <w:pitch w:val="default"/>
    <w:sig w:usb0="00000003" w:usb1="00000000" w:usb2="00000000" w:usb3="00000000" w:csb0="00000001" w:csb1="00000000"/>
  </w:font>
  <w:font w:name="Frutiger-LightItalic">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03" w:rsidRDefault="00B43103" w:rsidP="00950CC8">
    <w:pPr>
      <w:pStyle w:val="Footer"/>
      <w:pBdr>
        <w:bottom w:val="single" w:sz="6" w:space="1" w:color="auto"/>
      </w:pBdr>
      <w:tabs>
        <w:tab w:val="clear" w:pos="4153"/>
      </w:tabs>
      <w:rPr>
        <w:snapToGrid w:val="0"/>
        <w:sz w:val="12"/>
        <w:szCs w:val="12"/>
      </w:rPr>
    </w:pPr>
  </w:p>
  <w:p w:rsidR="00B43103" w:rsidRPr="009D04BC" w:rsidRDefault="00B43103" w:rsidP="006326A7">
    <w:pPr>
      <w:pStyle w:val="Footer"/>
      <w:tabs>
        <w:tab w:val="clear" w:pos="4153"/>
        <w:tab w:val="clear" w:pos="8306"/>
        <w:tab w:val="right" w:pos="8931"/>
      </w:tabs>
      <w:rPr>
        <w:sz w:val="16"/>
        <w:szCs w:val="16"/>
      </w:rPr>
    </w:pPr>
    <w:r w:rsidRPr="009D04BC">
      <w:rPr>
        <w:snapToGrid w:val="0"/>
        <w:sz w:val="16"/>
        <w:szCs w:val="16"/>
      </w:rPr>
      <w:tab/>
      <w:t xml:space="preserve">Page </w:t>
    </w:r>
    <w:r w:rsidR="003F6C6C" w:rsidRPr="009D04BC">
      <w:rPr>
        <w:snapToGrid w:val="0"/>
        <w:sz w:val="16"/>
        <w:szCs w:val="16"/>
      </w:rPr>
      <w:fldChar w:fldCharType="begin"/>
    </w:r>
    <w:r w:rsidRPr="009D04BC">
      <w:rPr>
        <w:snapToGrid w:val="0"/>
        <w:sz w:val="16"/>
        <w:szCs w:val="16"/>
      </w:rPr>
      <w:instrText xml:space="preserve"> PAGE </w:instrText>
    </w:r>
    <w:r w:rsidR="003F6C6C" w:rsidRPr="009D04BC">
      <w:rPr>
        <w:snapToGrid w:val="0"/>
        <w:sz w:val="16"/>
        <w:szCs w:val="16"/>
      </w:rPr>
      <w:fldChar w:fldCharType="separate"/>
    </w:r>
    <w:r w:rsidR="005E2B89">
      <w:rPr>
        <w:noProof/>
        <w:snapToGrid w:val="0"/>
        <w:sz w:val="16"/>
        <w:szCs w:val="16"/>
      </w:rPr>
      <w:t>1</w:t>
    </w:r>
    <w:r w:rsidR="003F6C6C" w:rsidRPr="009D04BC">
      <w:rPr>
        <w:snapToGrid w:val="0"/>
        <w:sz w:val="16"/>
        <w:szCs w:val="16"/>
      </w:rPr>
      <w:fldChar w:fldCharType="end"/>
    </w:r>
    <w:r w:rsidRPr="009D04BC">
      <w:rPr>
        <w:snapToGrid w:val="0"/>
        <w:sz w:val="16"/>
        <w:szCs w:val="16"/>
      </w:rPr>
      <w:t xml:space="preserve"> of </w:t>
    </w:r>
    <w:r w:rsidR="003F6C6C" w:rsidRPr="009D04BC">
      <w:rPr>
        <w:snapToGrid w:val="0"/>
        <w:sz w:val="16"/>
        <w:szCs w:val="16"/>
      </w:rPr>
      <w:fldChar w:fldCharType="begin"/>
    </w:r>
    <w:r w:rsidRPr="009D04BC">
      <w:rPr>
        <w:snapToGrid w:val="0"/>
        <w:sz w:val="16"/>
        <w:szCs w:val="16"/>
      </w:rPr>
      <w:instrText xml:space="preserve"> NUMPAGES </w:instrText>
    </w:r>
    <w:r w:rsidR="003F6C6C" w:rsidRPr="009D04BC">
      <w:rPr>
        <w:snapToGrid w:val="0"/>
        <w:sz w:val="16"/>
        <w:szCs w:val="16"/>
      </w:rPr>
      <w:fldChar w:fldCharType="separate"/>
    </w:r>
    <w:r w:rsidR="005E2B89">
      <w:rPr>
        <w:noProof/>
        <w:snapToGrid w:val="0"/>
        <w:sz w:val="16"/>
        <w:szCs w:val="16"/>
      </w:rPr>
      <w:t>7</w:t>
    </w:r>
    <w:r w:rsidR="003F6C6C" w:rsidRPr="009D04BC">
      <w:rPr>
        <w:snapToGrid w:val="0"/>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103" w:rsidRDefault="00B43103">
      <w:r>
        <w:separator/>
      </w:r>
    </w:p>
  </w:footnote>
  <w:footnote w:type="continuationSeparator" w:id="0">
    <w:p w:rsidR="00B43103" w:rsidRDefault="00B43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B54" w:rsidRDefault="007E0B54" w:rsidP="007E0B54">
    <w:pPr>
      <w:rPr>
        <w:b/>
        <w:bCs/>
      </w:rPr>
    </w:pPr>
    <w:r w:rsidRPr="003E7257">
      <w:rPr>
        <w:rFonts w:ascii="Verdana" w:hAnsi="Verdana"/>
        <w:b/>
        <w:bCs/>
        <w:sz w:val="28"/>
        <w:szCs w:val="28"/>
      </w:rPr>
      <w:t>VicRoads Annual Report 2011 -2012</w:t>
    </w:r>
    <w:r>
      <w:rPr>
        <w:b/>
        <w:bCs/>
      </w:rPr>
      <w:tab/>
    </w:r>
    <w:r>
      <w:rPr>
        <w:b/>
        <w:bCs/>
      </w:rPr>
      <w:tab/>
    </w:r>
    <w:r w:rsidR="003F6C6C" w:rsidRPr="003F6C6C">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0.75pt;height:29.25pt">
          <v:imagedata r:id="rId1" o:title="NewVRLogo(clear)"/>
        </v:shape>
      </w:pict>
    </w:r>
  </w:p>
  <w:p w:rsidR="007E0B54" w:rsidRDefault="007E0B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92E88"/>
    <w:multiLevelType w:val="hybridMultilevel"/>
    <w:tmpl w:val="41BE98BA"/>
    <w:lvl w:ilvl="0" w:tplc="54801740">
      <w:numFmt w:val="bullet"/>
      <w:lvlText w:val="-"/>
      <w:lvlJc w:val="left"/>
      <w:pPr>
        <w:tabs>
          <w:tab w:val="num" w:pos="1440"/>
        </w:tabs>
        <w:ind w:left="1440" w:hanging="720"/>
      </w:pPr>
      <w:rPr>
        <w:rFonts w:ascii="Times New Roman" w:eastAsia="Times New Roman" w:hAnsi="Times New Roman" w:cs="Times New Roman"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nsid w:val="14AD6F0E"/>
    <w:multiLevelType w:val="hybridMultilevel"/>
    <w:tmpl w:val="8D28DB00"/>
    <w:lvl w:ilvl="0" w:tplc="2AD0CAA8">
      <w:start w:val="6"/>
      <w:numFmt w:val="bullet"/>
      <w:lvlText w:val="-"/>
      <w:lvlJc w:val="left"/>
      <w:pPr>
        <w:tabs>
          <w:tab w:val="num" w:pos="720"/>
        </w:tabs>
        <w:ind w:left="720" w:hanging="405"/>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FE3619F"/>
    <w:multiLevelType w:val="multilevel"/>
    <w:tmpl w:val="8D28DB00"/>
    <w:lvl w:ilvl="0">
      <w:start w:val="6"/>
      <w:numFmt w:val="bullet"/>
      <w:lvlText w:val="-"/>
      <w:lvlJc w:val="left"/>
      <w:pPr>
        <w:tabs>
          <w:tab w:val="num" w:pos="720"/>
        </w:tabs>
        <w:ind w:left="720" w:hanging="405"/>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6B16D86"/>
    <w:multiLevelType w:val="hybridMultilevel"/>
    <w:tmpl w:val="124084A4"/>
    <w:lvl w:ilvl="0" w:tplc="69647E1A">
      <w:numFmt w:val="bullet"/>
      <w:lvlText w:val="-"/>
      <w:lvlJc w:val="left"/>
      <w:pPr>
        <w:tabs>
          <w:tab w:val="num" w:pos="405"/>
        </w:tabs>
        <w:ind w:left="405" w:hanging="360"/>
      </w:pPr>
      <w:rPr>
        <w:rFonts w:ascii="DIN-Light" w:eastAsia="Times New Roman" w:hAnsi="DIN-Light" w:cs="DIN-Light" w:hint="default"/>
      </w:rPr>
    </w:lvl>
    <w:lvl w:ilvl="1" w:tplc="0C090003" w:tentative="1">
      <w:start w:val="1"/>
      <w:numFmt w:val="bullet"/>
      <w:lvlText w:val="o"/>
      <w:lvlJc w:val="left"/>
      <w:pPr>
        <w:tabs>
          <w:tab w:val="num" w:pos="1125"/>
        </w:tabs>
        <w:ind w:left="1125" w:hanging="360"/>
      </w:pPr>
      <w:rPr>
        <w:rFonts w:ascii="Courier New" w:hAnsi="Courier New" w:cs="Courier New" w:hint="default"/>
      </w:rPr>
    </w:lvl>
    <w:lvl w:ilvl="2" w:tplc="0C090005" w:tentative="1">
      <w:start w:val="1"/>
      <w:numFmt w:val="bullet"/>
      <w:lvlText w:val=""/>
      <w:lvlJc w:val="left"/>
      <w:pPr>
        <w:tabs>
          <w:tab w:val="num" w:pos="1845"/>
        </w:tabs>
        <w:ind w:left="1845" w:hanging="360"/>
      </w:pPr>
      <w:rPr>
        <w:rFonts w:ascii="Wingdings" w:hAnsi="Wingdings" w:hint="default"/>
      </w:rPr>
    </w:lvl>
    <w:lvl w:ilvl="3" w:tplc="0C090001" w:tentative="1">
      <w:start w:val="1"/>
      <w:numFmt w:val="bullet"/>
      <w:lvlText w:val=""/>
      <w:lvlJc w:val="left"/>
      <w:pPr>
        <w:tabs>
          <w:tab w:val="num" w:pos="2565"/>
        </w:tabs>
        <w:ind w:left="2565" w:hanging="360"/>
      </w:pPr>
      <w:rPr>
        <w:rFonts w:ascii="Symbol" w:hAnsi="Symbol" w:hint="default"/>
      </w:rPr>
    </w:lvl>
    <w:lvl w:ilvl="4" w:tplc="0C090003" w:tentative="1">
      <w:start w:val="1"/>
      <w:numFmt w:val="bullet"/>
      <w:lvlText w:val="o"/>
      <w:lvlJc w:val="left"/>
      <w:pPr>
        <w:tabs>
          <w:tab w:val="num" w:pos="3285"/>
        </w:tabs>
        <w:ind w:left="3285" w:hanging="360"/>
      </w:pPr>
      <w:rPr>
        <w:rFonts w:ascii="Courier New" w:hAnsi="Courier New" w:cs="Courier New" w:hint="default"/>
      </w:rPr>
    </w:lvl>
    <w:lvl w:ilvl="5" w:tplc="0C090005" w:tentative="1">
      <w:start w:val="1"/>
      <w:numFmt w:val="bullet"/>
      <w:lvlText w:val=""/>
      <w:lvlJc w:val="left"/>
      <w:pPr>
        <w:tabs>
          <w:tab w:val="num" w:pos="4005"/>
        </w:tabs>
        <w:ind w:left="4005" w:hanging="360"/>
      </w:pPr>
      <w:rPr>
        <w:rFonts w:ascii="Wingdings" w:hAnsi="Wingdings" w:hint="default"/>
      </w:rPr>
    </w:lvl>
    <w:lvl w:ilvl="6" w:tplc="0C090001" w:tentative="1">
      <w:start w:val="1"/>
      <w:numFmt w:val="bullet"/>
      <w:lvlText w:val=""/>
      <w:lvlJc w:val="left"/>
      <w:pPr>
        <w:tabs>
          <w:tab w:val="num" w:pos="4725"/>
        </w:tabs>
        <w:ind w:left="4725" w:hanging="360"/>
      </w:pPr>
      <w:rPr>
        <w:rFonts w:ascii="Symbol" w:hAnsi="Symbol" w:hint="default"/>
      </w:rPr>
    </w:lvl>
    <w:lvl w:ilvl="7" w:tplc="0C090003" w:tentative="1">
      <w:start w:val="1"/>
      <w:numFmt w:val="bullet"/>
      <w:lvlText w:val="o"/>
      <w:lvlJc w:val="left"/>
      <w:pPr>
        <w:tabs>
          <w:tab w:val="num" w:pos="5445"/>
        </w:tabs>
        <w:ind w:left="5445" w:hanging="360"/>
      </w:pPr>
      <w:rPr>
        <w:rFonts w:ascii="Courier New" w:hAnsi="Courier New" w:cs="Courier New" w:hint="default"/>
      </w:rPr>
    </w:lvl>
    <w:lvl w:ilvl="8" w:tplc="0C090005" w:tentative="1">
      <w:start w:val="1"/>
      <w:numFmt w:val="bullet"/>
      <w:lvlText w:val=""/>
      <w:lvlJc w:val="left"/>
      <w:pPr>
        <w:tabs>
          <w:tab w:val="num" w:pos="6165"/>
        </w:tabs>
        <w:ind w:left="6165" w:hanging="360"/>
      </w:pPr>
      <w:rPr>
        <w:rFonts w:ascii="Wingdings" w:hAnsi="Wingdings" w:hint="default"/>
      </w:rPr>
    </w:lvl>
  </w:abstractNum>
  <w:abstractNum w:abstractNumId="4">
    <w:nsid w:val="613F6CA8"/>
    <w:multiLevelType w:val="hybridMultilevel"/>
    <w:tmpl w:val="675A7B6A"/>
    <w:lvl w:ilvl="0" w:tplc="0C090001">
      <w:start w:val="1"/>
      <w:numFmt w:val="bullet"/>
      <w:lvlText w:val=""/>
      <w:lvlJc w:val="left"/>
      <w:pPr>
        <w:tabs>
          <w:tab w:val="num" w:pos="675"/>
        </w:tabs>
        <w:ind w:left="675"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4A46"/>
    <w:rsid w:val="00000317"/>
    <w:rsid w:val="0000079E"/>
    <w:rsid w:val="00001AB1"/>
    <w:rsid w:val="00010BAB"/>
    <w:rsid w:val="00011F51"/>
    <w:rsid w:val="000138C7"/>
    <w:rsid w:val="00015BDC"/>
    <w:rsid w:val="00016692"/>
    <w:rsid w:val="00016F4D"/>
    <w:rsid w:val="00026FA6"/>
    <w:rsid w:val="000303AE"/>
    <w:rsid w:val="000326BE"/>
    <w:rsid w:val="00032FAD"/>
    <w:rsid w:val="00033645"/>
    <w:rsid w:val="0003456D"/>
    <w:rsid w:val="00035838"/>
    <w:rsid w:val="000379EC"/>
    <w:rsid w:val="000407BC"/>
    <w:rsid w:val="00040D6C"/>
    <w:rsid w:val="0004169A"/>
    <w:rsid w:val="00041C12"/>
    <w:rsid w:val="00042018"/>
    <w:rsid w:val="000428BE"/>
    <w:rsid w:val="00045F19"/>
    <w:rsid w:val="00047A81"/>
    <w:rsid w:val="000534B5"/>
    <w:rsid w:val="0005631B"/>
    <w:rsid w:val="00057492"/>
    <w:rsid w:val="00057DCD"/>
    <w:rsid w:val="000625A0"/>
    <w:rsid w:val="000625A4"/>
    <w:rsid w:val="00062764"/>
    <w:rsid w:val="00063789"/>
    <w:rsid w:val="000669B0"/>
    <w:rsid w:val="0006737B"/>
    <w:rsid w:val="00070169"/>
    <w:rsid w:val="00070E5A"/>
    <w:rsid w:val="00074768"/>
    <w:rsid w:val="0007583E"/>
    <w:rsid w:val="00075E9D"/>
    <w:rsid w:val="00076733"/>
    <w:rsid w:val="00076F4A"/>
    <w:rsid w:val="0007732D"/>
    <w:rsid w:val="000804AF"/>
    <w:rsid w:val="0008109A"/>
    <w:rsid w:val="00081EA9"/>
    <w:rsid w:val="00082EF7"/>
    <w:rsid w:val="0008513E"/>
    <w:rsid w:val="000855D3"/>
    <w:rsid w:val="00086208"/>
    <w:rsid w:val="0009277E"/>
    <w:rsid w:val="00093F07"/>
    <w:rsid w:val="00095079"/>
    <w:rsid w:val="00096AD9"/>
    <w:rsid w:val="000970EF"/>
    <w:rsid w:val="000A0167"/>
    <w:rsid w:val="000A1B40"/>
    <w:rsid w:val="000A27E4"/>
    <w:rsid w:val="000A6C90"/>
    <w:rsid w:val="000B164E"/>
    <w:rsid w:val="000B172A"/>
    <w:rsid w:val="000B2487"/>
    <w:rsid w:val="000B4397"/>
    <w:rsid w:val="000B4578"/>
    <w:rsid w:val="000B6A34"/>
    <w:rsid w:val="000B7417"/>
    <w:rsid w:val="000C30CB"/>
    <w:rsid w:val="000C4379"/>
    <w:rsid w:val="000C5285"/>
    <w:rsid w:val="000C5EBC"/>
    <w:rsid w:val="000C6833"/>
    <w:rsid w:val="000D0496"/>
    <w:rsid w:val="000D1557"/>
    <w:rsid w:val="000D184D"/>
    <w:rsid w:val="000D28A8"/>
    <w:rsid w:val="000E1DB4"/>
    <w:rsid w:val="000E23B7"/>
    <w:rsid w:val="000E3235"/>
    <w:rsid w:val="000E3FCE"/>
    <w:rsid w:val="000F069E"/>
    <w:rsid w:val="000F099B"/>
    <w:rsid w:val="000F1B14"/>
    <w:rsid w:val="000F1D42"/>
    <w:rsid w:val="000F29D4"/>
    <w:rsid w:val="000F2C5F"/>
    <w:rsid w:val="000F3882"/>
    <w:rsid w:val="000F5528"/>
    <w:rsid w:val="000F58B4"/>
    <w:rsid w:val="0010695F"/>
    <w:rsid w:val="001116CA"/>
    <w:rsid w:val="00111878"/>
    <w:rsid w:val="00116355"/>
    <w:rsid w:val="0011679F"/>
    <w:rsid w:val="0012012D"/>
    <w:rsid w:val="00121202"/>
    <w:rsid w:val="001236DE"/>
    <w:rsid w:val="00124133"/>
    <w:rsid w:val="0012460B"/>
    <w:rsid w:val="00124DB1"/>
    <w:rsid w:val="001253A1"/>
    <w:rsid w:val="00126A5E"/>
    <w:rsid w:val="00126EF1"/>
    <w:rsid w:val="001272FA"/>
    <w:rsid w:val="0012778D"/>
    <w:rsid w:val="00127C06"/>
    <w:rsid w:val="0013223D"/>
    <w:rsid w:val="0013329D"/>
    <w:rsid w:val="0013515C"/>
    <w:rsid w:val="001415C9"/>
    <w:rsid w:val="00141639"/>
    <w:rsid w:val="00142DC4"/>
    <w:rsid w:val="0014621D"/>
    <w:rsid w:val="00150C3A"/>
    <w:rsid w:val="00152864"/>
    <w:rsid w:val="00152E2D"/>
    <w:rsid w:val="00153C1F"/>
    <w:rsid w:val="00157ECC"/>
    <w:rsid w:val="00162301"/>
    <w:rsid w:val="00162FC9"/>
    <w:rsid w:val="00162FD5"/>
    <w:rsid w:val="00164A97"/>
    <w:rsid w:val="001657DB"/>
    <w:rsid w:val="00166494"/>
    <w:rsid w:val="001735B4"/>
    <w:rsid w:val="00176E97"/>
    <w:rsid w:val="0018048A"/>
    <w:rsid w:val="00180540"/>
    <w:rsid w:val="00180F69"/>
    <w:rsid w:val="00181F41"/>
    <w:rsid w:val="0018495D"/>
    <w:rsid w:val="0018666F"/>
    <w:rsid w:val="0019213D"/>
    <w:rsid w:val="001938DE"/>
    <w:rsid w:val="00195A36"/>
    <w:rsid w:val="00195F7F"/>
    <w:rsid w:val="001960B6"/>
    <w:rsid w:val="00196B52"/>
    <w:rsid w:val="001A0CF3"/>
    <w:rsid w:val="001A3762"/>
    <w:rsid w:val="001A3BA6"/>
    <w:rsid w:val="001A3BCF"/>
    <w:rsid w:val="001A3C67"/>
    <w:rsid w:val="001A5408"/>
    <w:rsid w:val="001A5993"/>
    <w:rsid w:val="001A74B7"/>
    <w:rsid w:val="001B1415"/>
    <w:rsid w:val="001B2BEB"/>
    <w:rsid w:val="001C0716"/>
    <w:rsid w:val="001C0D8F"/>
    <w:rsid w:val="001C10D2"/>
    <w:rsid w:val="001C21F4"/>
    <w:rsid w:val="001C317F"/>
    <w:rsid w:val="001C4BFE"/>
    <w:rsid w:val="001C4F66"/>
    <w:rsid w:val="001C52CF"/>
    <w:rsid w:val="001C5A9C"/>
    <w:rsid w:val="001C5C13"/>
    <w:rsid w:val="001C6EEE"/>
    <w:rsid w:val="001D0399"/>
    <w:rsid w:val="001D1054"/>
    <w:rsid w:val="001D29B9"/>
    <w:rsid w:val="001D2CA3"/>
    <w:rsid w:val="001D2FF8"/>
    <w:rsid w:val="001D3845"/>
    <w:rsid w:val="001D40D0"/>
    <w:rsid w:val="001D6598"/>
    <w:rsid w:val="001D6C39"/>
    <w:rsid w:val="001D70A6"/>
    <w:rsid w:val="001D7B8D"/>
    <w:rsid w:val="001E07B4"/>
    <w:rsid w:val="001E4EC1"/>
    <w:rsid w:val="001E5D95"/>
    <w:rsid w:val="001F0150"/>
    <w:rsid w:val="001F6885"/>
    <w:rsid w:val="00201EF5"/>
    <w:rsid w:val="00202C6F"/>
    <w:rsid w:val="002032CF"/>
    <w:rsid w:val="00203A24"/>
    <w:rsid w:val="00204D97"/>
    <w:rsid w:val="00205439"/>
    <w:rsid w:val="00205C75"/>
    <w:rsid w:val="0020618E"/>
    <w:rsid w:val="002078B9"/>
    <w:rsid w:val="002120FC"/>
    <w:rsid w:val="00213C75"/>
    <w:rsid w:val="00216320"/>
    <w:rsid w:val="00217970"/>
    <w:rsid w:val="00217CFF"/>
    <w:rsid w:val="00220673"/>
    <w:rsid w:val="00224A04"/>
    <w:rsid w:val="0022612D"/>
    <w:rsid w:val="00226142"/>
    <w:rsid w:val="00226BB6"/>
    <w:rsid w:val="00226C74"/>
    <w:rsid w:val="00227DE7"/>
    <w:rsid w:val="00232A8E"/>
    <w:rsid w:val="00233585"/>
    <w:rsid w:val="0023505E"/>
    <w:rsid w:val="00236856"/>
    <w:rsid w:val="002407C7"/>
    <w:rsid w:val="002408F3"/>
    <w:rsid w:val="00241BE2"/>
    <w:rsid w:val="002424F4"/>
    <w:rsid w:val="00243BF9"/>
    <w:rsid w:val="00244801"/>
    <w:rsid w:val="00244F35"/>
    <w:rsid w:val="00245940"/>
    <w:rsid w:val="002470BE"/>
    <w:rsid w:val="0025131B"/>
    <w:rsid w:val="00251CE5"/>
    <w:rsid w:val="00252F3E"/>
    <w:rsid w:val="00253467"/>
    <w:rsid w:val="00253766"/>
    <w:rsid w:val="00254D63"/>
    <w:rsid w:val="00255674"/>
    <w:rsid w:val="00255A7F"/>
    <w:rsid w:val="00257F12"/>
    <w:rsid w:val="00260C6E"/>
    <w:rsid w:val="00263B77"/>
    <w:rsid w:val="00263EE7"/>
    <w:rsid w:val="00264565"/>
    <w:rsid w:val="00267A21"/>
    <w:rsid w:val="00274D1B"/>
    <w:rsid w:val="00280EB7"/>
    <w:rsid w:val="00281350"/>
    <w:rsid w:val="00283365"/>
    <w:rsid w:val="002833DF"/>
    <w:rsid w:val="00283544"/>
    <w:rsid w:val="0028393C"/>
    <w:rsid w:val="0028486C"/>
    <w:rsid w:val="00285636"/>
    <w:rsid w:val="0028594D"/>
    <w:rsid w:val="00287211"/>
    <w:rsid w:val="00287767"/>
    <w:rsid w:val="002909ED"/>
    <w:rsid w:val="00296C78"/>
    <w:rsid w:val="002975D9"/>
    <w:rsid w:val="00297781"/>
    <w:rsid w:val="002A2659"/>
    <w:rsid w:val="002A5A2D"/>
    <w:rsid w:val="002A6683"/>
    <w:rsid w:val="002A7688"/>
    <w:rsid w:val="002B13ED"/>
    <w:rsid w:val="002B1C34"/>
    <w:rsid w:val="002B24EC"/>
    <w:rsid w:val="002B3732"/>
    <w:rsid w:val="002B4397"/>
    <w:rsid w:val="002B4DE3"/>
    <w:rsid w:val="002B5E27"/>
    <w:rsid w:val="002B6931"/>
    <w:rsid w:val="002C1378"/>
    <w:rsid w:val="002C2C55"/>
    <w:rsid w:val="002C3F87"/>
    <w:rsid w:val="002C5C23"/>
    <w:rsid w:val="002C614B"/>
    <w:rsid w:val="002C63EE"/>
    <w:rsid w:val="002C6B86"/>
    <w:rsid w:val="002C759A"/>
    <w:rsid w:val="002C780F"/>
    <w:rsid w:val="002C7BFC"/>
    <w:rsid w:val="002C7C73"/>
    <w:rsid w:val="002D14D8"/>
    <w:rsid w:val="002D1BB1"/>
    <w:rsid w:val="002D2E43"/>
    <w:rsid w:val="002D5B1E"/>
    <w:rsid w:val="002D67C5"/>
    <w:rsid w:val="002D6CFD"/>
    <w:rsid w:val="002E1BE8"/>
    <w:rsid w:val="002E1C02"/>
    <w:rsid w:val="002E2DD7"/>
    <w:rsid w:val="002E5C5E"/>
    <w:rsid w:val="002E5DEA"/>
    <w:rsid w:val="002F002F"/>
    <w:rsid w:val="002F2B89"/>
    <w:rsid w:val="002F42CB"/>
    <w:rsid w:val="002F444A"/>
    <w:rsid w:val="002F4540"/>
    <w:rsid w:val="002F5AFB"/>
    <w:rsid w:val="002F64D3"/>
    <w:rsid w:val="002F6649"/>
    <w:rsid w:val="002F6B51"/>
    <w:rsid w:val="002F70F6"/>
    <w:rsid w:val="002F77F9"/>
    <w:rsid w:val="002F7E48"/>
    <w:rsid w:val="003009CC"/>
    <w:rsid w:val="00300D8E"/>
    <w:rsid w:val="0030226A"/>
    <w:rsid w:val="003110A5"/>
    <w:rsid w:val="00311501"/>
    <w:rsid w:val="00312BA7"/>
    <w:rsid w:val="00313791"/>
    <w:rsid w:val="003147E8"/>
    <w:rsid w:val="00316043"/>
    <w:rsid w:val="0031698B"/>
    <w:rsid w:val="00323E64"/>
    <w:rsid w:val="0032533E"/>
    <w:rsid w:val="00325B16"/>
    <w:rsid w:val="0033073A"/>
    <w:rsid w:val="00333972"/>
    <w:rsid w:val="00333EDF"/>
    <w:rsid w:val="00334B78"/>
    <w:rsid w:val="00335F3A"/>
    <w:rsid w:val="0033633C"/>
    <w:rsid w:val="0033661E"/>
    <w:rsid w:val="00340310"/>
    <w:rsid w:val="00341098"/>
    <w:rsid w:val="0034153B"/>
    <w:rsid w:val="00341E7C"/>
    <w:rsid w:val="003435D4"/>
    <w:rsid w:val="00344E49"/>
    <w:rsid w:val="00350D26"/>
    <w:rsid w:val="0035186F"/>
    <w:rsid w:val="00352157"/>
    <w:rsid w:val="00352569"/>
    <w:rsid w:val="00352E13"/>
    <w:rsid w:val="00364036"/>
    <w:rsid w:val="00365A39"/>
    <w:rsid w:val="00371E49"/>
    <w:rsid w:val="00372076"/>
    <w:rsid w:val="003728F7"/>
    <w:rsid w:val="0037342A"/>
    <w:rsid w:val="00375273"/>
    <w:rsid w:val="00375AB2"/>
    <w:rsid w:val="003776C1"/>
    <w:rsid w:val="003837C7"/>
    <w:rsid w:val="0038697F"/>
    <w:rsid w:val="00386D22"/>
    <w:rsid w:val="00387069"/>
    <w:rsid w:val="003870A6"/>
    <w:rsid w:val="00390844"/>
    <w:rsid w:val="00391563"/>
    <w:rsid w:val="00392A9B"/>
    <w:rsid w:val="00396FFA"/>
    <w:rsid w:val="003A2ECE"/>
    <w:rsid w:val="003A33CC"/>
    <w:rsid w:val="003A52CF"/>
    <w:rsid w:val="003A5A17"/>
    <w:rsid w:val="003B2AB4"/>
    <w:rsid w:val="003B399E"/>
    <w:rsid w:val="003B3E61"/>
    <w:rsid w:val="003B4B27"/>
    <w:rsid w:val="003B4FD6"/>
    <w:rsid w:val="003B57ED"/>
    <w:rsid w:val="003B6DAE"/>
    <w:rsid w:val="003B7625"/>
    <w:rsid w:val="003B76AD"/>
    <w:rsid w:val="003C21D2"/>
    <w:rsid w:val="003C25B9"/>
    <w:rsid w:val="003C2669"/>
    <w:rsid w:val="003C311E"/>
    <w:rsid w:val="003C3AE7"/>
    <w:rsid w:val="003C4B83"/>
    <w:rsid w:val="003C4FC3"/>
    <w:rsid w:val="003D0071"/>
    <w:rsid w:val="003D14DC"/>
    <w:rsid w:val="003D31A7"/>
    <w:rsid w:val="003D4E67"/>
    <w:rsid w:val="003D56DA"/>
    <w:rsid w:val="003D58CB"/>
    <w:rsid w:val="003D5D9D"/>
    <w:rsid w:val="003D7AEA"/>
    <w:rsid w:val="003E1365"/>
    <w:rsid w:val="003E324B"/>
    <w:rsid w:val="003E3CE2"/>
    <w:rsid w:val="003E574F"/>
    <w:rsid w:val="003E5755"/>
    <w:rsid w:val="003E5B13"/>
    <w:rsid w:val="003E78BF"/>
    <w:rsid w:val="003F05DE"/>
    <w:rsid w:val="003F29BD"/>
    <w:rsid w:val="003F3F81"/>
    <w:rsid w:val="003F4307"/>
    <w:rsid w:val="003F6653"/>
    <w:rsid w:val="003F69DF"/>
    <w:rsid w:val="003F6C6C"/>
    <w:rsid w:val="003F7CC2"/>
    <w:rsid w:val="00400F6B"/>
    <w:rsid w:val="00401E95"/>
    <w:rsid w:val="00402B68"/>
    <w:rsid w:val="00404B52"/>
    <w:rsid w:val="00406BC0"/>
    <w:rsid w:val="00412D9A"/>
    <w:rsid w:val="00412FE9"/>
    <w:rsid w:val="00413E85"/>
    <w:rsid w:val="00415CC3"/>
    <w:rsid w:val="0042033E"/>
    <w:rsid w:val="004209A9"/>
    <w:rsid w:val="00420EA5"/>
    <w:rsid w:val="00423FC2"/>
    <w:rsid w:val="00425B63"/>
    <w:rsid w:val="00425DA4"/>
    <w:rsid w:val="00426811"/>
    <w:rsid w:val="00426963"/>
    <w:rsid w:val="00426A05"/>
    <w:rsid w:val="00426E18"/>
    <w:rsid w:val="00427D0F"/>
    <w:rsid w:val="004359A3"/>
    <w:rsid w:val="00436400"/>
    <w:rsid w:val="00440350"/>
    <w:rsid w:val="004407F5"/>
    <w:rsid w:val="00440D1C"/>
    <w:rsid w:val="00441856"/>
    <w:rsid w:val="00441C00"/>
    <w:rsid w:val="004425E9"/>
    <w:rsid w:val="00442707"/>
    <w:rsid w:val="00442890"/>
    <w:rsid w:val="00443E52"/>
    <w:rsid w:val="0044443F"/>
    <w:rsid w:val="00446D32"/>
    <w:rsid w:val="00447661"/>
    <w:rsid w:val="00450EC8"/>
    <w:rsid w:val="0045105F"/>
    <w:rsid w:val="00451E1C"/>
    <w:rsid w:val="00452900"/>
    <w:rsid w:val="0045327E"/>
    <w:rsid w:val="00455388"/>
    <w:rsid w:val="004553EB"/>
    <w:rsid w:val="0045576F"/>
    <w:rsid w:val="004562EB"/>
    <w:rsid w:val="004566C7"/>
    <w:rsid w:val="004600B5"/>
    <w:rsid w:val="00461092"/>
    <w:rsid w:val="004611AB"/>
    <w:rsid w:val="00464266"/>
    <w:rsid w:val="00464945"/>
    <w:rsid w:val="00464BB8"/>
    <w:rsid w:val="00466EE3"/>
    <w:rsid w:val="004671CC"/>
    <w:rsid w:val="00467B56"/>
    <w:rsid w:val="0047358B"/>
    <w:rsid w:val="00474095"/>
    <w:rsid w:val="0047461D"/>
    <w:rsid w:val="004747AD"/>
    <w:rsid w:val="004748F4"/>
    <w:rsid w:val="00475156"/>
    <w:rsid w:val="00475312"/>
    <w:rsid w:val="00475FDD"/>
    <w:rsid w:val="00480D3A"/>
    <w:rsid w:val="0048116F"/>
    <w:rsid w:val="004817D8"/>
    <w:rsid w:val="00482983"/>
    <w:rsid w:val="0048470C"/>
    <w:rsid w:val="004854CD"/>
    <w:rsid w:val="00485593"/>
    <w:rsid w:val="004869E6"/>
    <w:rsid w:val="00492B48"/>
    <w:rsid w:val="004963AB"/>
    <w:rsid w:val="004965BF"/>
    <w:rsid w:val="00496B7D"/>
    <w:rsid w:val="004A0146"/>
    <w:rsid w:val="004A1780"/>
    <w:rsid w:val="004A4DE0"/>
    <w:rsid w:val="004A5F12"/>
    <w:rsid w:val="004A673D"/>
    <w:rsid w:val="004A7B8C"/>
    <w:rsid w:val="004B0EE5"/>
    <w:rsid w:val="004B327C"/>
    <w:rsid w:val="004B328D"/>
    <w:rsid w:val="004B4179"/>
    <w:rsid w:val="004B5484"/>
    <w:rsid w:val="004B79CF"/>
    <w:rsid w:val="004B7F1D"/>
    <w:rsid w:val="004C0673"/>
    <w:rsid w:val="004C2C51"/>
    <w:rsid w:val="004C391E"/>
    <w:rsid w:val="004C39AF"/>
    <w:rsid w:val="004C3BC5"/>
    <w:rsid w:val="004C4F8A"/>
    <w:rsid w:val="004C7645"/>
    <w:rsid w:val="004C794B"/>
    <w:rsid w:val="004D05D1"/>
    <w:rsid w:val="004D1DB7"/>
    <w:rsid w:val="004D3C4B"/>
    <w:rsid w:val="004D4538"/>
    <w:rsid w:val="004D556B"/>
    <w:rsid w:val="004D6158"/>
    <w:rsid w:val="004D79E8"/>
    <w:rsid w:val="004E2BC1"/>
    <w:rsid w:val="004E3D84"/>
    <w:rsid w:val="004E51D2"/>
    <w:rsid w:val="004E6056"/>
    <w:rsid w:val="004F1225"/>
    <w:rsid w:val="004F279D"/>
    <w:rsid w:val="004F70C2"/>
    <w:rsid w:val="00501ED3"/>
    <w:rsid w:val="0050264A"/>
    <w:rsid w:val="00502675"/>
    <w:rsid w:val="0050325B"/>
    <w:rsid w:val="00504BC4"/>
    <w:rsid w:val="0050563E"/>
    <w:rsid w:val="00505D12"/>
    <w:rsid w:val="00506A0E"/>
    <w:rsid w:val="00506DB6"/>
    <w:rsid w:val="005107C0"/>
    <w:rsid w:val="00510DA9"/>
    <w:rsid w:val="00511F3A"/>
    <w:rsid w:val="005121CC"/>
    <w:rsid w:val="00513207"/>
    <w:rsid w:val="005153CB"/>
    <w:rsid w:val="00515EE9"/>
    <w:rsid w:val="0052059C"/>
    <w:rsid w:val="00521090"/>
    <w:rsid w:val="0052199F"/>
    <w:rsid w:val="00521BE1"/>
    <w:rsid w:val="005227E5"/>
    <w:rsid w:val="00522FEC"/>
    <w:rsid w:val="005232FA"/>
    <w:rsid w:val="00525123"/>
    <w:rsid w:val="00526C56"/>
    <w:rsid w:val="00526DFD"/>
    <w:rsid w:val="00527441"/>
    <w:rsid w:val="005276B2"/>
    <w:rsid w:val="005302AB"/>
    <w:rsid w:val="00532000"/>
    <w:rsid w:val="00533707"/>
    <w:rsid w:val="00534851"/>
    <w:rsid w:val="00534F0E"/>
    <w:rsid w:val="005359F7"/>
    <w:rsid w:val="005369FF"/>
    <w:rsid w:val="005402ED"/>
    <w:rsid w:val="0054037C"/>
    <w:rsid w:val="0054115B"/>
    <w:rsid w:val="00541BB0"/>
    <w:rsid w:val="0054230D"/>
    <w:rsid w:val="0054587E"/>
    <w:rsid w:val="00546FBD"/>
    <w:rsid w:val="0054781D"/>
    <w:rsid w:val="00550013"/>
    <w:rsid w:val="00550B39"/>
    <w:rsid w:val="00551139"/>
    <w:rsid w:val="005526A6"/>
    <w:rsid w:val="005526C7"/>
    <w:rsid w:val="00556834"/>
    <w:rsid w:val="00557551"/>
    <w:rsid w:val="00562AB1"/>
    <w:rsid w:val="00563BA2"/>
    <w:rsid w:val="005640AE"/>
    <w:rsid w:val="005643B3"/>
    <w:rsid w:val="005705CA"/>
    <w:rsid w:val="00571126"/>
    <w:rsid w:val="005723C2"/>
    <w:rsid w:val="0057450B"/>
    <w:rsid w:val="005750DE"/>
    <w:rsid w:val="00577E43"/>
    <w:rsid w:val="00582F8C"/>
    <w:rsid w:val="00583D62"/>
    <w:rsid w:val="00584166"/>
    <w:rsid w:val="00585BA5"/>
    <w:rsid w:val="00587853"/>
    <w:rsid w:val="00595D60"/>
    <w:rsid w:val="0059648D"/>
    <w:rsid w:val="005A1623"/>
    <w:rsid w:val="005A2937"/>
    <w:rsid w:val="005A3C72"/>
    <w:rsid w:val="005A6790"/>
    <w:rsid w:val="005B007C"/>
    <w:rsid w:val="005B33F3"/>
    <w:rsid w:val="005B38E1"/>
    <w:rsid w:val="005B44B5"/>
    <w:rsid w:val="005B71C6"/>
    <w:rsid w:val="005C066E"/>
    <w:rsid w:val="005C1BCD"/>
    <w:rsid w:val="005C2808"/>
    <w:rsid w:val="005C4D14"/>
    <w:rsid w:val="005C4F92"/>
    <w:rsid w:val="005C526B"/>
    <w:rsid w:val="005C5D2D"/>
    <w:rsid w:val="005C783F"/>
    <w:rsid w:val="005C7BD3"/>
    <w:rsid w:val="005D06D7"/>
    <w:rsid w:val="005D08E4"/>
    <w:rsid w:val="005D0AF2"/>
    <w:rsid w:val="005D299C"/>
    <w:rsid w:val="005D34C8"/>
    <w:rsid w:val="005D4259"/>
    <w:rsid w:val="005D5967"/>
    <w:rsid w:val="005D614C"/>
    <w:rsid w:val="005D64CA"/>
    <w:rsid w:val="005E137F"/>
    <w:rsid w:val="005E2B89"/>
    <w:rsid w:val="005E2F31"/>
    <w:rsid w:val="005E3BA6"/>
    <w:rsid w:val="005E44C2"/>
    <w:rsid w:val="005E5F54"/>
    <w:rsid w:val="005E61DB"/>
    <w:rsid w:val="005E6951"/>
    <w:rsid w:val="005F12D8"/>
    <w:rsid w:val="005F59A1"/>
    <w:rsid w:val="005F6B07"/>
    <w:rsid w:val="005F71D4"/>
    <w:rsid w:val="005F7F78"/>
    <w:rsid w:val="00601729"/>
    <w:rsid w:val="00602DA7"/>
    <w:rsid w:val="006048EA"/>
    <w:rsid w:val="00605D2F"/>
    <w:rsid w:val="00610858"/>
    <w:rsid w:val="00613AC8"/>
    <w:rsid w:val="00613E9F"/>
    <w:rsid w:val="0061541E"/>
    <w:rsid w:val="00617298"/>
    <w:rsid w:val="006179FE"/>
    <w:rsid w:val="0062014B"/>
    <w:rsid w:val="006208AB"/>
    <w:rsid w:val="006221B9"/>
    <w:rsid w:val="0062253E"/>
    <w:rsid w:val="0062615B"/>
    <w:rsid w:val="006266D3"/>
    <w:rsid w:val="00631F5B"/>
    <w:rsid w:val="006326A7"/>
    <w:rsid w:val="006335F3"/>
    <w:rsid w:val="00634F5A"/>
    <w:rsid w:val="0063556B"/>
    <w:rsid w:val="00637B19"/>
    <w:rsid w:val="00637E80"/>
    <w:rsid w:val="0064172E"/>
    <w:rsid w:val="00642075"/>
    <w:rsid w:val="006439A6"/>
    <w:rsid w:val="00643E60"/>
    <w:rsid w:val="00645414"/>
    <w:rsid w:val="00647CE3"/>
    <w:rsid w:val="006517D6"/>
    <w:rsid w:val="00652796"/>
    <w:rsid w:val="00652C51"/>
    <w:rsid w:val="00653C52"/>
    <w:rsid w:val="00654C39"/>
    <w:rsid w:val="0065504E"/>
    <w:rsid w:val="006557DC"/>
    <w:rsid w:val="00657DF7"/>
    <w:rsid w:val="00663E7E"/>
    <w:rsid w:val="00664D0A"/>
    <w:rsid w:val="00666127"/>
    <w:rsid w:val="0066731E"/>
    <w:rsid w:val="00671407"/>
    <w:rsid w:val="006724A8"/>
    <w:rsid w:val="0067327A"/>
    <w:rsid w:val="0067328A"/>
    <w:rsid w:val="00674BD2"/>
    <w:rsid w:val="00680407"/>
    <w:rsid w:val="0068060F"/>
    <w:rsid w:val="0068184B"/>
    <w:rsid w:val="006818BD"/>
    <w:rsid w:val="006840E9"/>
    <w:rsid w:val="006855A6"/>
    <w:rsid w:val="00690017"/>
    <w:rsid w:val="0069122E"/>
    <w:rsid w:val="00691EF2"/>
    <w:rsid w:val="0069601A"/>
    <w:rsid w:val="0069618E"/>
    <w:rsid w:val="006A0C92"/>
    <w:rsid w:val="006A0EC7"/>
    <w:rsid w:val="006A2547"/>
    <w:rsid w:val="006A4096"/>
    <w:rsid w:val="006A4459"/>
    <w:rsid w:val="006A4831"/>
    <w:rsid w:val="006A61EA"/>
    <w:rsid w:val="006A6D22"/>
    <w:rsid w:val="006A6D33"/>
    <w:rsid w:val="006B0F86"/>
    <w:rsid w:val="006B2A66"/>
    <w:rsid w:val="006B3460"/>
    <w:rsid w:val="006B34C4"/>
    <w:rsid w:val="006B3A03"/>
    <w:rsid w:val="006B400F"/>
    <w:rsid w:val="006B4F21"/>
    <w:rsid w:val="006B60A3"/>
    <w:rsid w:val="006B6E8B"/>
    <w:rsid w:val="006B71BB"/>
    <w:rsid w:val="006C0199"/>
    <w:rsid w:val="006C11D5"/>
    <w:rsid w:val="006C1944"/>
    <w:rsid w:val="006C216D"/>
    <w:rsid w:val="006C396A"/>
    <w:rsid w:val="006C3B6D"/>
    <w:rsid w:val="006C5137"/>
    <w:rsid w:val="006C6D4F"/>
    <w:rsid w:val="006D77AD"/>
    <w:rsid w:val="006E062A"/>
    <w:rsid w:val="006E160B"/>
    <w:rsid w:val="006E2063"/>
    <w:rsid w:val="006E2D9A"/>
    <w:rsid w:val="006E6A6C"/>
    <w:rsid w:val="006E795D"/>
    <w:rsid w:val="006F0F2D"/>
    <w:rsid w:val="006F1C2F"/>
    <w:rsid w:val="006F2BA6"/>
    <w:rsid w:val="006F38F0"/>
    <w:rsid w:val="006F5FC7"/>
    <w:rsid w:val="006F61EF"/>
    <w:rsid w:val="006F66B6"/>
    <w:rsid w:val="00700FEF"/>
    <w:rsid w:val="0070167B"/>
    <w:rsid w:val="007033C3"/>
    <w:rsid w:val="007038EB"/>
    <w:rsid w:val="00703A28"/>
    <w:rsid w:val="007103DC"/>
    <w:rsid w:val="00711FDB"/>
    <w:rsid w:val="00712E84"/>
    <w:rsid w:val="00713664"/>
    <w:rsid w:val="00714276"/>
    <w:rsid w:val="00714440"/>
    <w:rsid w:val="0071701B"/>
    <w:rsid w:val="0071744B"/>
    <w:rsid w:val="00730D55"/>
    <w:rsid w:val="007313CD"/>
    <w:rsid w:val="0073168F"/>
    <w:rsid w:val="007319F4"/>
    <w:rsid w:val="007321E8"/>
    <w:rsid w:val="00732312"/>
    <w:rsid w:val="007324B2"/>
    <w:rsid w:val="007349C6"/>
    <w:rsid w:val="0073545B"/>
    <w:rsid w:val="007375AD"/>
    <w:rsid w:val="00740407"/>
    <w:rsid w:val="007407E6"/>
    <w:rsid w:val="00742F45"/>
    <w:rsid w:val="007438F0"/>
    <w:rsid w:val="00745276"/>
    <w:rsid w:val="0074784D"/>
    <w:rsid w:val="007509AD"/>
    <w:rsid w:val="007509B9"/>
    <w:rsid w:val="00750B6C"/>
    <w:rsid w:val="00750FDF"/>
    <w:rsid w:val="0075199F"/>
    <w:rsid w:val="007524D6"/>
    <w:rsid w:val="00752759"/>
    <w:rsid w:val="00753FCA"/>
    <w:rsid w:val="00754557"/>
    <w:rsid w:val="007546DC"/>
    <w:rsid w:val="00754D01"/>
    <w:rsid w:val="00755499"/>
    <w:rsid w:val="00755C20"/>
    <w:rsid w:val="00756B34"/>
    <w:rsid w:val="0076028B"/>
    <w:rsid w:val="0076261E"/>
    <w:rsid w:val="0076282B"/>
    <w:rsid w:val="00762D76"/>
    <w:rsid w:val="007633FD"/>
    <w:rsid w:val="00763715"/>
    <w:rsid w:val="00763822"/>
    <w:rsid w:val="007639D6"/>
    <w:rsid w:val="00764AA4"/>
    <w:rsid w:val="00764BFE"/>
    <w:rsid w:val="00767C80"/>
    <w:rsid w:val="00770379"/>
    <w:rsid w:val="0077048E"/>
    <w:rsid w:val="00772531"/>
    <w:rsid w:val="00772710"/>
    <w:rsid w:val="00772F73"/>
    <w:rsid w:val="00773276"/>
    <w:rsid w:val="00776BB4"/>
    <w:rsid w:val="007811CF"/>
    <w:rsid w:val="00781F59"/>
    <w:rsid w:val="00782DDB"/>
    <w:rsid w:val="007844D7"/>
    <w:rsid w:val="007868A1"/>
    <w:rsid w:val="00787338"/>
    <w:rsid w:val="007907AC"/>
    <w:rsid w:val="00790DD8"/>
    <w:rsid w:val="007912BE"/>
    <w:rsid w:val="0079224C"/>
    <w:rsid w:val="00793834"/>
    <w:rsid w:val="007A07ED"/>
    <w:rsid w:val="007A0C2F"/>
    <w:rsid w:val="007A1EA9"/>
    <w:rsid w:val="007A26B6"/>
    <w:rsid w:val="007A28CA"/>
    <w:rsid w:val="007A6204"/>
    <w:rsid w:val="007A744E"/>
    <w:rsid w:val="007B0156"/>
    <w:rsid w:val="007B1391"/>
    <w:rsid w:val="007B31C6"/>
    <w:rsid w:val="007B39E3"/>
    <w:rsid w:val="007B750E"/>
    <w:rsid w:val="007B7DF1"/>
    <w:rsid w:val="007C1F42"/>
    <w:rsid w:val="007C27E5"/>
    <w:rsid w:val="007C4D77"/>
    <w:rsid w:val="007C603E"/>
    <w:rsid w:val="007C7802"/>
    <w:rsid w:val="007D0F65"/>
    <w:rsid w:val="007D16E0"/>
    <w:rsid w:val="007D4451"/>
    <w:rsid w:val="007D50FC"/>
    <w:rsid w:val="007D51F2"/>
    <w:rsid w:val="007D78F4"/>
    <w:rsid w:val="007E0204"/>
    <w:rsid w:val="007E0B54"/>
    <w:rsid w:val="007E1FA9"/>
    <w:rsid w:val="007E4091"/>
    <w:rsid w:val="007E4B9C"/>
    <w:rsid w:val="007F0050"/>
    <w:rsid w:val="007F007F"/>
    <w:rsid w:val="007F14DC"/>
    <w:rsid w:val="007F1861"/>
    <w:rsid w:val="007F236C"/>
    <w:rsid w:val="007F2C4C"/>
    <w:rsid w:val="007F5599"/>
    <w:rsid w:val="007F5D54"/>
    <w:rsid w:val="00801033"/>
    <w:rsid w:val="00803091"/>
    <w:rsid w:val="00805A89"/>
    <w:rsid w:val="00806B51"/>
    <w:rsid w:val="008075BE"/>
    <w:rsid w:val="008075F7"/>
    <w:rsid w:val="008101B4"/>
    <w:rsid w:val="00816582"/>
    <w:rsid w:val="0081664B"/>
    <w:rsid w:val="008178B1"/>
    <w:rsid w:val="00817D8E"/>
    <w:rsid w:val="00820D60"/>
    <w:rsid w:val="00820FB9"/>
    <w:rsid w:val="00821550"/>
    <w:rsid w:val="00822146"/>
    <w:rsid w:val="008229A7"/>
    <w:rsid w:val="00823642"/>
    <w:rsid w:val="008306D9"/>
    <w:rsid w:val="00830901"/>
    <w:rsid w:val="00830ACE"/>
    <w:rsid w:val="008325DF"/>
    <w:rsid w:val="008334BC"/>
    <w:rsid w:val="00833FA2"/>
    <w:rsid w:val="00837F3B"/>
    <w:rsid w:val="008421F4"/>
    <w:rsid w:val="008445E3"/>
    <w:rsid w:val="00845157"/>
    <w:rsid w:val="00851250"/>
    <w:rsid w:val="00852E07"/>
    <w:rsid w:val="0085611E"/>
    <w:rsid w:val="00856AD0"/>
    <w:rsid w:val="008612A6"/>
    <w:rsid w:val="00862E14"/>
    <w:rsid w:val="00863286"/>
    <w:rsid w:val="00864B68"/>
    <w:rsid w:val="00864D3B"/>
    <w:rsid w:val="008650E4"/>
    <w:rsid w:val="00865262"/>
    <w:rsid w:val="0086531A"/>
    <w:rsid w:val="008677DB"/>
    <w:rsid w:val="00872DAB"/>
    <w:rsid w:val="00873E51"/>
    <w:rsid w:val="00875A95"/>
    <w:rsid w:val="00876F2F"/>
    <w:rsid w:val="008818A8"/>
    <w:rsid w:val="00882E77"/>
    <w:rsid w:val="00882FAF"/>
    <w:rsid w:val="00883647"/>
    <w:rsid w:val="00884CAE"/>
    <w:rsid w:val="0088530F"/>
    <w:rsid w:val="00891857"/>
    <w:rsid w:val="00891DE9"/>
    <w:rsid w:val="00892CDA"/>
    <w:rsid w:val="00893B3B"/>
    <w:rsid w:val="008941D2"/>
    <w:rsid w:val="008962FE"/>
    <w:rsid w:val="00896E38"/>
    <w:rsid w:val="008A0E9E"/>
    <w:rsid w:val="008A2ECE"/>
    <w:rsid w:val="008A53E4"/>
    <w:rsid w:val="008A6128"/>
    <w:rsid w:val="008A6D24"/>
    <w:rsid w:val="008A76DC"/>
    <w:rsid w:val="008B0DDB"/>
    <w:rsid w:val="008B2EE9"/>
    <w:rsid w:val="008B405E"/>
    <w:rsid w:val="008B6801"/>
    <w:rsid w:val="008B6FCA"/>
    <w:rsid w:val="008B738F"/>
    <w:rsid w:val="008C0BB6"/>
    <w:rsid w:val="008C3668"/>
    <w:rsid w:val="008C3BF7"/>
    <w:rsid w:val="008C6D69"/>
    <w:rsid w:val="008D2D18"/>
    <w:rsid w:val="008D31CD"/>
    <w:rsid w:val="008D3782"/>
    <w:rsid w:val="008D7FED"/>
    <w:rsid w:val="008E111D"/>
    <w:rsid w:val="008E2C23"/>
    <w:rsid w:val="008F12FF"/>
    <w:rsid w:val="008F2D01"/>
    <w:rsid w:val="008F32BF"/>
    <w:rsid w:val="008F35B8"/>
    <w:rsid w:val="008F5628"/>
    <w:rsid w:val="008F7864"/>
    <w:rsid w:val="008F7AE7"/>
    <w:rsid w:val="008F7E6F"/>
    <w:rsid w:val="00902428"/>
    <w:rsid w:val="00903350"/>
    <w:rsid w:val="00906D5C"/>
    <w:rsid w:val="00907969"/>
    <w:rsid w:val="009107C9"/>
    <w:rsid w:val="00910CF5"/>
    <w:rsid w:val="00911A51"/>
    <w:rsid w:val="00913D8B"/>
    <w:rsid w:val="00914E72"/>
    <w:rsid w:val="00915E95"/>
    <w:rsid w:val="009167D6"/>
    <w:rsid w:val="00917FF7"/>
    <w:rsid w:val="00922680"/>
    <w:rsid w:val="00923DC1"/>
    <w:rsid w:val="009241D0"/>
    <w:rsid w:val="009242F3"/>
    <w:rsid w:val="009266C0"/>
    <w:rsid w:val="00930ABE"/>
    <w:rsid w:val="009317E8"/>
    <w:rsid w:val="009320ED"/>
    <w:rsid w:val="009371E1"/>
    <w:rsid w:val="00943382"/>
    <w:rsid w:val="00943B04"/>
    <w:rsid w:val="009447B9"/>
    <w:rsid w:val="0094507A"/>
    <w:rsid w:val="009472EC"/>
    <w:rsid w:val="009509FD"/>
    <w:rsid w:val="00950CC8"/>
    <w:rsid w:val="00954A6B"/>
    <w:rsid w:val="00954FD9"/>
    <w:rsid w:val="0095654B"/>
    <w:rsid w:val="009566A9"/>
    <w:rsid w:val="0096132C"/>
    <w:rsid w:val="009625C4"/>
    <w:rsid w:val="00962A6A"/>
    <w:rsid w:val="00963F26"/>
    <w:rsid w:val="00963FA6"/>
    <w:rsid w:val="00964E29"/>
    <w:rsid w:val="0096577B"/>
    <w:rsid w:val="00965E34"/>
    <w:rsid w:val="00970B74"/>
    <w:rsid w:val="00971B6E"/>
    <w:rsid w:val="009724E1"/>
    <w:rsid w:val="009727AD"/>
    <w:rsid w:val="00974085"/>
    <w:rsid w:val="009774AD"/>
    <w:rsid w:val="00977DBB"/>
    <w:rsid w:val="00980C2A"/>
    <w:rsid w:val="00980F9B"/>
    <w:rsid w:val="00981C41"/>
    <w:rsid w:val="0098362D"/>
    <w:rsid w:val="009839B1"/>
    <w:rsid w:val="00984A39"/>
    <w:rsid w:val="0098619D"/>
    <w:rsid w:val="0099269F"/>
    <w:rsid w:val="009963DB"/>
    <w:rsid w:val="00996435"/>
    <w:rsid w:val="009A033D"/>
    <w:rsid w:val="009A3006"/>
    <w:rsid w:val="009A5022"/>
    <w:rsid w:val="009A51BB"/>
    <w:rsid w:val="009A6FD8"/>
    <w:rsid w:val="009A710A"/>
    <w:rsid w:val="009A7F11"/>
    <w:rsid w:val="009B0326"/>
    <w:rsid w:val="009B5B20"/>
    <w:rsid w:val="009B5C84"/>
    <w:rsid w:val="009B5EE1"/>
    <w:rsid w:val="009B719F"/>
    <w:rsid w:val="009C45F9"/>
    <w:rsid w:val="009C5B05"/>
    <w:rsid w:val="009C60C6"/>
    <w:rsid w:val="009C6A3F"/>
    <w:rsid w:val="009D04BC"/>
    <w:rsid w:val="009D081E"/>
    <w:rsid w:val="009D1A9E"/>
    <w:rsid w:val="009D2EBF"/>
    <w:rsid w:val="009D430C"/>
    <w:rsid w:val="009D5881"/>
    <w:rsid w:val="009E325E"/>
    <w:rsid w:val="009E384C"/>
    <w:rsid w:val="009E3B5C"/>
    <w:rsid w:val="009E4288"/>
    <w:rsid w:val="009F0988"/>
    <w:rsid w:val="009F1782"/>
    <w:rsid w:val="009F24D5"/>
    <w:rsid w:val="009F26E9"/>
    <w:rsid w:val="009F442C"/>
    <w:rsid w:val="009F50AC"/>
    <w:rsid w:val="009F69B8"/>
    <w:rsid w:val="00A029C4"/>
    <w:rsid w:val="00A02C6B"/>
    <w:rsid w:val="00A03439"/>
    <w:rsid w:val="00A0382D"/>
    <w:rsid w:val="00A04DFB"/>
    <w:rsid w:val="00A1197E"/>
    <w:rsid w:val="00A14343"/>
    <w:rsid w:val="00A146C3"/>
    <w:rsid w:val="00A15F98"/>
    <w:rsid w:val="00A17D85"/>
    <w:rsid w:val="00A21095"/>
    <w:rsid w:val="00A2201F"/>
    <w:rsid w:val="00A25DF5"/>
    <w:rsid w:val="00A27E57"/>
    <w:rsid w:val="00A309BC"/>
    <w:rsid w:val="00A31ED0"/>
    <w:rsid w:val="00A3233D"/>
    <w:rsid w:val="00A3427C"/>
    <w:rsid w:val="00A3447B"/>
    <w:rsid w:val="00A34E4A"/>
    <w:rsid w:val="00A36119"/>
    <w:rsid w:val="00A36FD5"/>
    <w:rsid w:val="00A457A5"/>
    <w:rsid w:val="00A46AD1"/>
    <w:rsid w:val="00A46CF1"/>
    <w:rsid w:val="00A47E1D"/>
    <w:rsid w:val="00A5096E"/>
    <w:rsid w:val="00A525C2"/>
    <w:rsid w:val="00A52820"/>
    <w:rsid w:val="00A53C6C"/>
    <w:rsid w:val="00A53CAA"/>
    <w:rsid w:val="00A54521"/>
    <w:rsid w:val="00A56A40"/>
    <w:rsid w:val="00A5711A"/>
    <w:rsid w:val="00A5746E"/>
    <w:rsid w:val="00A57742"/>
    <w:rsid w:val="00A62D82"/>
    <w:rsid w:val="00A6423E"/>
    <w:rsid w:val="00A649F6"/>
    <w:rsid w:val="00A65371"/>
    <w:rsid w:val="00A67732"/>
    <w:rsid w:val="00A70C90"/>
    <w:rsid w:val="00A70F1D"/>
    <w:rsid w:val="00A71593"/>
    <w:rsid w:val="00A71691"/>
    <w:rsid w:val="00A732E9"/>
    <w:rsid w:val="00A73E23"/>
    <w:rsid w:val="00A74E45"/>
    <w:rsid w:val="00A76AD1"/>
    <w:rsid w:val="00A80AF0"/>
    <w:rsid w:val="00A81D10"/>
    <w:rsid w:val="00A840DA"/>
    <w:rsid w:val="00A876A1"/>
    <w:rsid w:val="00A87D5A"/>
    <w:rsid w:val="00A938A1"/>
    <w:rsid w:val="00A94144"/>
    <w:rsid w:val="00A95F7E"/>
    <w:rsid w:val="00A95FB4"/>
    <w:rsid w:val="00A96589"/>
    <w:rsid w:val="00A9691E"/>
    <w:rsid w:val="00A96B8A"/>
    <w:rsid w:val="00AA00B5"/>
    <w:rsid w:val="00AA2293"/>
    <w:rsid w:val="00AA2373"/>
    <w:rsid w:val="00AA2C87"/>
    <w:rsid w:val="00AA6575"/>
    <w:rsid w:val="00AA6A8E"/>
    <w:rsid w:val="00AB1A64"/>
    <w:rsid w:val="00AB2950"/>
    <w:rsid w:val="00AB39D8"/>
    <w:rsid w:val="00AB4248"/>
    <w:rsid w:val="00AB5CE3"/>
    <w:rsid w:val="00AC0E7B"/>
    <w:rsid w:val="00AC1ABF"/>
    <w:rsid w:val="00AC1F7F"/>
    <w:rsid w:val="00AC4905"/>
    <w:rsid w:val="00AC57AB"/>
    <w:rsid w:val="00AC755C"/>
    <w:rsid w:val="00AD00C6"/>
    <w:rsid w:val="00AD0728"/>
    <w:rsid w:val="00AD110C"/>
    <w:rsid w:val="00AD368D"/>
    <w:rsid w:val="00AD407D"/>
    <w:rsid w:val="00AD5BE3"/>
    <w:rsid w:val="00AD6AD6"/>
    <w:rsid w:val="00AE1031"/>
    <w:rsid w:val="00AE2404"/>
    <w:rsid w:val="00AE3352"/>
    <w:rsid w:val="00AE36FA"/>
    <w:rsid w:val="00AE444C"/>
    <w:rsid w:val="00AE4DD0"/>
    <w:rsid w:val="00AE51B6"/>
    <w:rsid w:val="00AE5567"/>
    <w:rsid w:val="00AE59C0"/>
    <w:rsid w:val="00AF0082"/>
    <w:rsid w:val="00AF0936"/>
    <w:rsid w:val="00AF3082"/>
    <w:rsid w:val="00AF360D"/>
    <w:rsid w:val="00AF69C0"/>
    <w:rsid w:val="00AF6DD6"/>
    <w:rsid w:val="00AF6E88"/>
    <w:rsid w:val="00AF7ACC"/>
    <w:rsid w:val="00AF7B0A"/>
    <w:rsid w:val="00B00761"/>
    <w:rsid w:val="00B01324"/>
    <w:rsid w:val="00B01ED8"/>
    <w:rsid w:val="00B036AA"/>
    <w:rsid w:val="00B039E5"/>
    <w:rsid w:val="00B1519D"/>
    <w:rsid w:val="00B1524F"/>
    <w:rsid w:val="00B159FC"/>
    <w:rsid w:val="00B165CB"/>
    <w:rsid w:val="00B17C6E"/>
    <w:rsid w:val="00B2042A"/>
    <w:rsid w:val="00B20438"/>
    <w:rsid w:val="00B20621"/>
    <w:rsid w:val="00B211B8"/>
    <w:rsid w:val="00B214AD"/>
    <w:rsid w:val="00B2172E"/>
    <w:rsid w:val="00B22DB6"/>
    <w:rsid w:val="00B23581"/>
    <w:rsid w:val="00B25315"/>
    <w:rsid w:val="00B27A1F"/>
    <w:rsid w:val="00B3283C"/>
    <w:rsid w:val="00B32971"/>
    <w:rsid w:val="00B32AD9"/>
    <w:rsid w:val="00B33DF9"/>
    <w:rsid w:val="00B351D0"/>
    <w:rsid w:val="00B35846"/>
    <w:rsid w:val="00B35C06"/>
    <w:rsid w:val="00B36152"/>
    <w:rsid w:val="00B365A9"/>
    <w:rsid w:val="00B378E7"/>
    <w:rsid w:val="00B42A71"/>
    <w:rsid w:val="00B43103"/>
    <w:rsid w:val="00B45DE2"/>
    <w:rsid w:val="00B516DB"/>
    <w:rsid w:val="00B52A90"/>
    <w:rsid w:val="00B533F8"/>
    <w:rsid w:val="00B56BBD"/>
    <w:rsid w:val="00B63C57"/>
    <w:rsid w:val="00B64C9E"/>
    <w:rsid w:val="00B67E4E"/>
    <w:rsid w:val="00B7115A"/>
    <w:rsid w:val="00B7433B"/>
    <w:rsid w:val="00B74AEB"/>
    <w:rsid w:val="00B827E9"/>
    <w:rsid w:val="00B829CC"/>
    <w:rsid w:val="00B82FF2"/>
    <w:rsid w:val="00B83280"/>
    <w:rsid w:val="00B84216"/>
    <w:rsid w:val="00B850B9"/>
    <w:rsid w:val="00B86261"/>
    <w:rsid w:val="00B86D7B"/>
    <w:rsid w:val="00B903D0"/>
    <w:rsid w:val="00B95686"/>
    <w:rsid w:val="00B957F9"/>
    <w:rsid w:val="00B95EE0"/>
    <w:rsid w:val="00BA1544"/>
    <w:rsid w:val="00BA23EA"/>
    <w:rsid w:val="00BA2AC9"/>
    <w:rsid w:val="00BA2BE1"/>
    <w:rsid w:val="00BA2EB0"/>
    <w:rsid w:val="00BA30BE"/>
    <w:rsid w:val="00BA322E"/>
    <w:rsid w:val="00BA3AFC"/>
    <w:rsid w:val="00BA43B7"/>
    <w:rsid w:val="00BA74DF"/>
    <w:rsid w:val="00BB07DE"/>
    <w:rsid w:val="00BB08AC"/>
    <w:rsid w:val="00BB0E82"/>
    <w:rsid w:val="00BB4BAD"/>
    <w:rsid w:val="00BB59AB"/>
    <w:rsid w:val="00BB59FC"/>
    <w:rsid w:val="00BC185D"/>
    <w:rsid w:val="00BC3C8F"/>
    <w:rsid w:val="00BC4079"/>
    <w:rsid w:val="00BC5BE3"/>
    <w:rsid w:val="00BC5E75"/>
    <w:rsid w:val="00BC6154"/>
    <w:rsid w:val="00BC65DC"/>
    <w:rsid w:val="00BC6BAE"/>
    <w:rsid w:val="00BC6D39"/>
    <w:rsid w:val="00BD0593"/>
    <w:rsid w:val="00BD4951"/>
    <w:rsid w:val="00BD5351"/>
    <w:rsid w:val="00BD6541"/>
    <w:rsid w:val="00BD739A"/>
    <w:rsid w:val="00BE10B9"/>
    <w:rsid w:val="00BE13C3"/>
    <w:rsid w:val="00BE15CF"/>
    <w:rsid w:val="00BE3585"/>
    <w:rsid w:val="00BE3FA9"/>
    <w:rsid w:val="00BE478E"/>
    <w:rsid w:val="00BE65D4"/>
    <w:rsid w:val="00BE7AB6"/>
    <w:rsid w:val="00BF415B"/>
    <w:rsid w:val="00BF4D3D"/>
    <w:rsid w:val="00BF6B6E"/>
    <w:rsid w:val="00BF7019"/>
    <w:rsid w:val="00BF7BEF"/>
    <w:rsid w:val="00C009C9"/>
    <w:rsid w:val="00C0151E"/>
    <w:rsid w:val="00C03AED"/>
    <w:rsid w:val="00C0573C"/>
    <w:rsid w:val="00C06EA2"/>
    <w:rsid w:val="00C0725D"/>
    <w:rsid w:val="00C07AA2"/>
    <w:rsid w:val="00C12132"/>
    <w:rsid w:val="00C12857"/>
    <w:rsid w:val="00C12991"/>
    <w:rsid w:val="00C143C2"/>
    <w:rsid w:val="00C16312"/>
    <w:rsid w:val="00C17F34"/>
    <w:rsid w:val="00C201A7"/>
    <w:rsid w:val="00C20496"/>
    <w:rsid w:val="00C209E1"/>
    <w:rsid w:val="00C2119D"/>
    <w:rsid w:val="00C2284A"/>
    <w:rsid w:val="00C250A8"/>
    <w:rsid w:val="00C25CAF"/>
    <w:rsid w:val="00C25CB0"/>
    <w:rsid w:val="00C30FCC"/>
    <w:rsid w:val="00C36A6B"/>
    <w:rsid w:val="00C37B0E"/>
    <w:rsid w:val="00C40967"/>
    <w:rsid w:val="00C4498F"/>
    <w:rsid w:val="00C47CE4"/>
    <w:rsid w:val="00C52DAE"/>
    <w:rsid w:val="00C54366"/>
    <w:rsid w:val="00C559CF"/>
    <w:rsid w:val="00C56401"/>
    <w:rsid w:val="00C571AE"/>
    <w:rsid w:val="00C6122F"/>
    <w:rsid w:val="00C61B8B"/>
    <w:rsid w:val="00C62186"/>
    <w:rsid w:val="00C62A36"/>
    <w:rsid w:val="00C62D9E"/>
    <w:rsid w:val="00C637F3"/>
    <w:rsid w:val="00C655B5"/>
    <w:rsid w:val="00C65938"/>
    <w:rsid w:val="00C65D6D"/>
    <w:rsid w:val="00C6745F"/>
    <w:rsid w:val="00C72409"/>
    <w:rsid w:val="00C72F7E"/>
    <w:rsid w:val="00C739F0"/>
    <w:rsid w:val="00C75927"/>
    <w:rsid w:val="00C75E74"/>
    <w:rsid w:val="00C81CB9"/>
    <w:rsid w:val="00C861E6"/>
    <w:rsid w:val="00C87856"/>
    <w:rsid w:val="00C90F44"/>
    <w:rsid w:val="00C92A09"/>
    <w:rsid w:val="00C94021"/>
    <w:rsid w:val="00C95AA5"/>
    <w:rsid w:val="00C9691C"/>
    <w:rsid w:val="00C974FB"/>
    <w:rsid w:val="00CA07B8"/>
    <w:rsid w:val="00CA184D"/>
    <w:rsid w:val="00CA30D1"/>
    <w:rsid w:val="00CA4C14"/>
    <w:rsid w:val="00CA7E3E"/>
    <w:rsid w:val="00CB1680"/>
    <w:rsid w:val="00CB1C97"/>
    <w:rsid w:val="00CB270B"/>
    <w:rsid w:val="00CB27D5"/>
    <w:rsid w:val="00CB40B2"/>
    <w:rsid w:val="00CB5832"/>
    <w:rsid w:val="00CB69D3"/>
    <w:rsid w:val="00CB7735"/>
    <w:rsid w:val="00CB7A08"/>
    <w:rsid w:val="00CB7EC9"/>
    <w:rsid w:val="00CC071C"/>
    <w:rsid w:val="00CC12FA"/>
    <w:rsid w:val="00CC1D35"/>
    <w:rsid w:val="00CC2808"/>
    <w:rsid w:val="00CC7741"/>
    <w:rsid w:val="00CD17A3"/>
    <w:rsid w:val="00CD235C"/>
    <w:rsid w:val="00CD3312"/>
    <w:rsid w:val="00CD3891"/>
    <w:rsid w:val="00CD7BAA"/>
    <w:rsid w:val="00CD7FED"/>
    <w:rsid w:val="00CE2A9F"/>
    <w:rsid w:val="00CE2B6E"/>
    <w:rsid w:val="00CE3BD9"/>
    <w:rsid w:val="00CE4726"/>
    <w:rsid w:val="00CE50D2"/>
    <w:rsid w:val="00CE6178"/>
    <w:rsid w:val="00CE714B"/>
    <w:rsid w:val="00CE7BA0"/>
    <w:rsid w:val="00CE7C2A"/>
    <w:rsid w:val="00CF07F8"/>
    <w:rsid w:val="00CF104C"/>
    <w:rsid w:val="00CF2197"/>
    <w:rsid w:val="00CF4A46"/>
    <w:rsid w:val="00CF51FB"/>
    <w:rsid w:val="00CF73DF"/>
    <w:rsid w:val="00CF79BB"/>
    <w:rsid w:val="00D00563"/>
    <w:rsid w:val="00D00C59"/>
    <w:rsid w:val="00D027AF"/>
    <w:rsid w:val="00D0293E"/>
    <w:rsid w:val="00D037A5"/>
    <w:rsid w:val="00D10311"/>
    <w:rsid w:val="00D1401A"/>
    <w:rsid w:val="00D14FB7"/>
    <w:rsid w:val="00D16212"/>
    <w:rsid w:val="00D1627F"/>
    <w:rsid w:val="00D20373"/>
    <w:rsid w:val="00D22979"/>
    <w:rsid w:val="00D229C4"/>
    <w:rsid w:val="00D22FFF"/>
    <w:rsid w:val="00D25260"/>
    <w:rsid w:val="00D31978"/>
    <w:rsid w:val="00D34B53"/>
    <w:rsid w:val="00D372AD"/>
    <w:rsid w:val="00D37D8A"/>
    <w:rsid w:val="00D40B14"/>
    <w:rsid w:val="00D41886"/>
    <w:rsid w:val="00D46DCA"/>
    <w:rsid w:val="00D51EFC"/>
    <w:rsid w:val="00D553E3"/>
    <w:rsid w:val="00D55C82"/>
    <w:rsid w:val="00D60775"/>
    <w:rsid w:val="00D60A0D"/>
    <w:rsid w:val="00D62F3A"/>
    <w:rsid w:val="00D6376E"/>
    <w:rsid w:val="00D641C7"/>
    <w:rsid w:val="00D645D7"/>
    <w:rsid w:val="00D65355"/>
    <w:rsid w:val="00D65ABB"/>
    <w:rsid w:val="00D66069"/>
    <w:rsid w:val="00D66D4F"/>
    <w:rsid w:val="00D71045"/>
    <w:rsid w:val="00D72179"/>
    <w:rsid w:val="00D738B3"/>
    <w:rsid w:val="00D739A6"/>
    <w:rsid w:val="00D73EEA"/>
    <w:rsid w:val="00D76729"/>
    <w:rsid w:val="00D8168D"/>
    <w:rsid w:val="00D839D0"/>
    <w:rsid w:val="00D83F6A"/>
    <w:rsid w:val="00D84C01"/>
    <w:rsid w:val="00D84D5A"/>
    <w:rsid w:val="00D870E0"/>
    <w:rsid w:val="00D905BA"/>
    <w:rsid w:val="00D92855"/>
    <w:rsid w:val="00D929EB"/>
    <w:rsid w:val="00D931A3"/>
    <w:rsid w:val="00D93B9D"/>
    <w:rsid w:val="00D94D7C"/>
    <w:rsid w:val="00D94E89"/>
    <w:rsid w:val="00D95DD8"/>
    <w:rsid w:val="00DA141E"/>
    <w:rsid w:val="00DA2074"/>
    <w:rsid w:val="00DA3BA1"/>
    <w:rsid w:val="00DA4E2A"/>
    <w:rsid w:val="00DA56FB"/>
    <w:rsid w:val="00DA6366"/>
    <w:rsid w:val="00DB0592"/>
    <w:rsid w:val="00DB22C7"/>
    <w:rsid w:val="00DB31D5"/>
    <w:rsid w:val="00DB32A2"/>
    <w:rsid w:val="00DB5958"/>
    <w:rsid w:val="00DB6A6C"/>
    <w:rsid w:val="00DB7096"/>
    <w:rsid w:val="00DB79EE"/>
    <w:rsid w:val="00DB7CE7"/>
    <w:rsid w:val="00DC1100"/>
    <w:rsid w:val="00DC1D31"/>
    <w:rsid w:val="00DC2D1A"/>
    <w:rsid w:val="00DC3B93"/>
    <w:rsid w:val="00DC6287"/>
    <w:rsid w:val="00DC6486"/>
    <w:rsid w:val="00DC6783"/>
    <w:rsid w:val="00DC6CE4"/>
    <w:rsid w:val="00DD0B91"/>
    <w:rsid w:val="00DD10C3"/>
    <w:rsid w:val="00DD12C4"/>
    <w:rsid w:val="00DD2F83"/>
    <w:rsid w:val="00DD7450"/>
    <w:rsid w:val="00DE07BF"/>
    <w:rsid w:val="00DE0B9D"/>
    <w:rsid w:val="00DE172E"/>
    <w:rsid w:val="00DE187F"/>
    <w:rsid w:val="00DE1C8E"/>
    <w:rsid w:val="00DE2FF6"/>
    <w:rsid w:val="00DE5C26"/>
    <w:rsid w:val="00DE713B"/>
    <w:rsid w:val="00DE793B"/>
    <w:rsid w:val="00DE7E38"/>
    <w:rsid w:val="00DF144A"/>
    <w:rsid w:val="00DF2BDD"/>
    <w:rsid w:val="00E00493"/>
    <w:rsid w:val="00E00721"/>
    <w:rsid w:val="00E04C69"/>
    <w:rsid w:val="00E058B0"/>
    <w:rsid w:val="00E05E9A"/>
    <w:rsid w:val="00E0797E"/>
    <w:rsid w:val="00E1378C"/>
    <w:rsid w:val="00E20887"/>
    <w:rsid w:val="00E20AE6"/>
    <w:rsid w:val="00E20B96"/>
    <w:rsid w:val="00E221F0"/>
    <w:rsid w:val="00E2232B"/>
    <w:rsid w:val="00E22EBF"/>
    <w:rsid w:val="00E230C3"/>
    <w:rsid w:val="00E231D5"/>
    <w:rsid w:val="00E2400B"/>
    <w:rsid w:val="00E303B6"/>
    <w:rsid w:val="00E30CCB"/>
    <w:rsid w:val="00E31906"/>
    <w:rsid w:val="00E347E2"/>
    <w:rsid w:val="00E35519"/>
    <w:rsid w:val="00E364F0"/>
    <w:rsid w:val="00E37B0C"/>
    <w:rsid w:val="00E40077"/>
    <w:rsid w:val="00E43A84"/>
    <w:rsid w:val="00E45788"/>
    <w:rsid w:val="00E46D7C"/>
    <w:rsid w:val="00E47748"/>
    <w:rsid w:val="00E47A85"/>
    <w:rsid w:val="00E47FD7"/>
    <w:rsid w:val="00E52677"/>
    <w:rsid w:val="00E53EA4"/>
    <w:rsid w:val="00E54D42"/>
    <w:rsid w:val="00E60205"/>
    <w:rsid w:val="00E6233D"/>
    <w:rsid w:val="00E62AD4"/>
    <w:rsid w:val="00E62D8F"/>
    <w:rsid w:val="00E635F2"/>
    <w:rsid w:val="00E63996"/>
    <w:rsid w:val="00E65CAC"/>
    <w:rsid w:val="00E71479"/>
    <w:rsid w:val="00E74E94"/>
    <w:rsid w:val="00E8108E"/>
    <w:rsid w:val="00E8154B"/>
    <w:rsid w:val="00E826F3"/>
    <w:rsid w:val="00E83536"/>
    <w:rsid w:val="00E84C96"/>
    <w:rsid w:val="00E85012"/>
    <w:rsid w:val="00E86724"/>
    <w:rsid w:val="00E935F4"/>
    <w:rsid w:val="00E9433F"/>
    <w:rsid w:val="00E9479E"/>
    <w:rsid w:val="00E9593F"/>
    <w:rsid w:val="00E97436"/>
    <w:rsid w:val="00E97DF9"/>
    <w:rsid w:val="00EA22D5"/>
    <w:rsid w:val="00EA45FA"/>
    <w:rsid w:val="00EA4E4E"/>
    <w:rsid w:val="00EA5990"/>
    <w:rsid w:val="00EB3875"/>
    <w:rsid w:val="00EB4357"/>
    <w:rsid w:val="00EC0B7B"/>
    <w:rsid w:val="00EC1145"/>
    <w:rsid w:val="00EC1A07"/>
    <w:rsid w:val="00EC3764"/>
    <w:rsid w:val="00EC3B40"/>
    <w:rsid w:val="00EC3D7C"/>
    <w:rsid w:val="00EC5899"/>
    <w:rsid w:val="00EC6E62"/>
    <w:rsid w:val="00EC6EAD"/>
    <w:rsid w:val="00EC7E89"/>
    <w:rsid w:val="00ED1A0D"/>
    <w:rsid w:val="00ED2CB5"/>
    <w:rsid w:val="00ED52E6"/>
    <w:rsid w:val="00ED58F1"/>
    <w:rsid w:val="00ED618B"/>
    <w:rsid w:val="00ED76CF"/>
    <w:rsid w:val="00EE0DC6"/>
    <w:rsid w:val="00EE1463"/>
    <w:rsid w:val="00EE234D"/>
    <w:rsid w:val="00EE23C9"/>
    <w:rsid w:val="00EE2954"/>
    <w:rsid w:val="00EE29C7"/>
    <w:rsid w:val="00EE37AA"/>
    <w:rsid w:val="00EE4373"/>
    <w:rsid w:val="00EE4384"/>
    <w:rsid w:val="00EE5A2C"/>
    <w:rsid w:val="00EE5CC3"/>
    <w:rsid w:val="00EF21DD"/>
    <w:rsid w:val="00EF33B1"/>
    <w:rsid w:val="00EF38CC"/>
    <w:rsid w:val="00EF4460"/>
    <w:rsid w:val="00EF62BA"/>
    <w:rsid w:val="00F014BC"/>
    <w:rsid w:val="00F0199D"/>
    <w:rsid w:val="00F02B95"/>
    <w:rsid w:val="00F05118"/>
    <w:rsid w:val="00F051B6"/>
    <w:rsid w:val="00F05962"/>
    <w:rsid w:val="00F05FD1"/>
    <w:rsid w:val="00F06614"/>
    <w:rsid w:val="00F0661D"/>
    <w:rsid w:val="00F10407"/>
    <w:rsid w:val="00F10C34"/>
    <w:rsid w:val="00F11F2B"/>
    <w:rsid w:val="00F1289C"/>
    <w:rsid w:val="00F1328B"/>
    <w:rsid w:val="00F14B07"/>
    <w:rsid w:val="00F1670D"/>
    <w:rsid w:val="00F17DC5"/>
    <w:rsid w:val="00F202A1"/>
    <w:rsid w:val="00F20FB8"/>
    <w:rsid w:val="00F21171"/>
    <w:rsid w:val="00F211FF"/>
    <w:rsid w:val="00F214B7"/>
    <w:rsid w:val="00F23236"/>
    <w:rsid w:val="00F2362A"/>
    <w:rsid w:val="00F23AED"/>
    <w:rsid w:val="00F25820"/>
    <w:rsid w:val="00F27ACA"/>
    <w:rsid w:val="00F3027C"/>
    <w:rsid w:val="00F335F0"/>
    <w:rsid w:val="00F34796"/>
    <w:rsid w:val="00F42790"/>
    <w:rsid w:val="00F45143"/>
    <w:rsid w:val="00F46F4C"/>
    <w:rsid w:val="00F47615"/>
    <w:rsid w:val="00F51230"/>
    <w:rsid w:val="00F5331E"/>
    <w:rsid w:val="00F54A91"/>
    <w:rsid w:val="00F55EB3"/>
    <w:rsid w:val="00F5677C"/>
    <w:rsid w:val="00F57320"/>
    <w:rsid w:val="00F575E5"/>
    <w:rsid w:val="00F61FA2"/>
    <w:rsid w:val="00F67660"/>
    <w:rsid w:val="00F67FB8"/>
    <w:rsid w:val="00F70979"/>
    <w:rsid w:val="00F72AA6"/>
    <w:rsid w:val="00F73681"/>
    <w:rsid w:val="00F7559A"/>
    <w:rsid w:val="00F77186"/>
    <w:rsid w:val="00F8156E"/>
    <w:rsid w:val="00F820B5"/>
    <w:rsid w:val="00F837FB"/>
    <w:rsid w:val="00F83BCF"/>
    <w:rsid w:val="00F874D5"/>
    <w:rsid w:val="00F877DF"/>
    <w:rsid w:val="00F966B5"/>
    <w:rsid w:val="00F97112"/>
    <w:rsid w:val="00FA1515"/>
    <w:rsid w:val="00FA21F1"/>
    <w:rsid w:val="00FA2F2C"/>
    <w:rsid w:val="00FA3959"/>
    <w:rsid w:val="00FA3E56"/>
    <w:rsid w:val="00FA58A8"/>
    <w:rsid w:val="00FB100E"/>
    <w:rsid w:val="00FB1962"/>
    <w:rsid w:val="00FB3AF4"/>
    <w:rsid w:val="00FB5966"/>
    <w:rsid w:val="00FB6CC5"/>
    <w:rsid w:val="00FC034D"/>
    <w:rsid w:val="00FC4389"/>
    <w:rsid w:val="00FC43DF"/>
    <w:rsid w:val="00FC64EE"/>
    <w:rsid w:val="00FC6BAE"/>
    <w:rsid w:val="00FD087D"/>
    <w:rsid w:val="00FD1241"/>
    <w:rsid w:val="00FD157A"/>
    <w:rsid w:val="00FD379E"/>
    <w:rsid w:val="00FD4A9C"/>
    <w:rsid w:val="00FD75B8"/>
    <w:rsid w:val="00FE0F2A"/>
    <w:rsid w:val="00FE1868"/>
    <w:rsid w:val="00FE1B21"/>
    <w:rsid w:val="00FE4273"/>
    <w:rsid w:val="00FE5B0F"/>
    <w:rsid w:val="00FE5C5C"/>
    <w:rsid w:val="00FE78AD"/>
    <w:rsid w:val="00FE79FF"/>
    <w:rsid w:val="00FF2A92"/>
    <w:rsid w:val="00FF7913"/>
    <w:rsid w:val="00FF7FE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0A6"/>
    <w:rPr>
      <w:sz w:val="24"/>
      <w:lang w:eastAsia="en-US"/>
    </w:rPr>
  </w:style>
  <w:style w:type="paragraph" w:styleId="Heading1">
    <w:name w:val="heading 1"/>
    <w:basedOn w:val="Normal"/>
    <w:next w:val="Normal"/>
    <w:link w:val="Heading1Char"/>
    <w:qFormat/>
    <w:rsid w:val="000B7417"/>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8962FE"/>
    <w:pPr>
      <w:keepNext/>
      <w:outlineLvl w:val="1"/>
    </w:pPr>
    <w:rPr>
      <w:rFonts w:ascii="Times" w:eastAsia="Times" w:hAnsi="Times"/>
      <w:b/>
      <w:bCs/>
      <w:color w:val="0000F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7E48"/>
    <w:pPr>
      <w:tabs>
        <w:tab w:val="center" w:pos="4153"/>
        <w:tab w:val="right" w:pos="8306"/>
      </w:tabs>
    </w:pPr>
  </w:style>
  <w:style w:type="paragraph" w:styleId="Footer">
    <w:name w:val="footer"/>
    <w:basedOn w:val="Normal"/>
    <w:rsid w:val="002F7E48"/>
    <w:pPr>
      <w:tabs>
        <w:tab w:val="center" w:pos="4153"/>
        <w:tab w:val="right" w:pos="8306"/>
      </w:tabs>
    </w:pPr>
  </w:style>
  <w:style w:type="table" w:styleId="TableGrid">
    <w:name w:val="Table Grid"/>
    <w:basedOn w:val="TableNormal"/>
    <w:rsid w:val="00501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8962FE"/>
    <w:pPr>
      <w:ind w:left="426" w:hanging="426"/>
    </w:pPr>
    <w:rPr>
      <w:rFonts w:ascii="Times" w:eastAsia="Times" w:hAnsi="Times"/>
      <w:lang w:val="en-US"/>
    </w:rPr>
  </w:style>
  <w:style w:type="paragraph" w:styleId="BodyText">
    <w:name w:val="Body Text"/>
    <w:basedOn w:val="Normal"/>
    <w:rsid w:val="008962FE"/>
    <w:rPr>
      <w:rFonts w:ascii="Times" w:eastAsia="Times" w:hAnsi="Times"/>
      <w:color w:val="0000FF"/>
      <w:lang w:val="en-US"/>
    </w:rPr>
  </w:style>
  <w:style w:type="paragraph" w:styleId="BalloonText">
    <w:name w:val="Balloon Text"/>
    <w:basedOn w:val="Normal"/>
    <w:semiHidden/>
    <w:rsid w:val="00333EDF"/>
    <w:rPr>
      <w:rFonts w:ascii="Tahoma" w:hAnsi="Tahoma" w:cs="Tahoma"/>
      <w:sz w:val="16"/>
      <w:szCs w:val="16"/>
    </w:rPr>
  </w:style>
  <w:style w:type="character" w:styleId="CommentReference">
    <w:name w:val="annotation reference"/>
    <w:basedOn w:val="DefaultParagraphFont"/>
    <w:semiHidden/>
    <w:rsid w:val="00F335F0"/>
    <w:rPr>
      <w:sz w:val="16"/>
      <w:szCs w:val="16"/>
    </w:rPr>
  </w:style>
  <w:style w:type="paragraph" w:styleId="CommentText">
    <w:name w:val="annotation text"/>
    <w:basedOn w:val="Normal"/>
    <w:semiHidden/>
    <w:rsid w:val="00F335F0"/>
    <w:rPr>
      <w:sz w:val="20"/>
    </w:rPr>
  </w:style>
  <w:style w:type="paragraph" w:styleId="CommentSubject">
    <w:name w:val="annotation subject"/>
    <w:basedOn w:val="CommentText"/>
    <w:next w:val="CommentText"/>
    <w:semiHidden/>
    <w:rsid w:val="00F335F0"/>
    <w:rPr>
      <w:b/>
      <w:bCs/>
    </w:rPr>
  </w:style>
  <w:style w:type="paragraph" w:customStyle="1" w:styleId="NormalDIN-Light">
    <w:name w:val="Normal + DIN-Light"/>
    <w:aliases w:val="9 pt,Black,Justified"/>
    <w:basedOn w:val="Normal"/>
    <w:rsid w:val="0025131B"/>
    <w:pPr>
      <w:jc w:val="both"/>
    </w:pPr>
    <w:rPr>
      <w:rFonts w:ascii="DIN-Light" w:hAnsi="DIN-Light" w:cs="DIN-Light"/>
      <w:color w:val="000000"/>
      <w:sz w:val="18"/>
      <w:szCs w:val="18"/>
    </w:rPr>
  </w:style>
  <w:style w:type="character" w:customStyle="1" w:styleId="Heading1Char">
    <w:name w:val="Heading 1 Char"/>
    <w:basedOn w:val="DefaultParagraphFont"/>
    <w:link w:val="Heading1"/>
    <w:rsid w:val="000B7417"/>
    <w:rPr>
      <w:rFonts w:ascii="Cambria" w:eastAsia="Times New Roman" w:hAnsi="Cambria" w:cs="Times New Roman"/>
      <w:b/>
      <w:bCs/>
      <w:kern w:val="32"/>
      <w:sz w:val="32"/>
      <w:szCs w:val="32"/>
      <w:lang w:eastAsia="en-US"/>
    </w:rPr>
  </w:style>
  <w:style w:type="character" w:styleId="Emphasis">
    <w:name w:val="Emphasis"/>
    <w:basedOn w:val="DefaultParagraphFont"/>
    <w:qFormat/>
    <w:rsid w:val="000B7417"/>
    <w:rPr>
      <w:i/>
      <w:iCs/>
    </w:rPr>
  </w:style>
  <w:style w:type="character" w:customStyle="1" w:styleId="HeaderChar">
    <w:name w:val="Header Char"/>
    <w:basedOn w:val="DefaultParagraphFont"/>
    <w:link w:val="Header"/>
    <w:uiPriority w:val="99"/>
    <w:rsid w:val="007E0B54"/>
    <w:rPr>
      <w:sz w:val="24"/>
      <w:lang w:eastAsia="en-US"/>
    </w:rPr>
  </w:style>
</w:styles>
</file>

<file path=word/webSettings.xml><?xml version="1.0" encoding="utf-8"?>
<w:webSettings xmlns:r="http://schemas.openxmlformats.org/officeDocument/2006/relationships" xmlns:w="http://schemas.openxmlformats.org/wordprocessingml/2006/main">
  <w:divs>
    <w:div w:id="15470584">
      <w:bodyDiv w:val="1"/>
      <w:marLeft w:val="0"/>
      <w:marRight w:val="0"/>
      <w:marTop w:val="0"/>
      <w:marBottom w:val="0"/>
      <w:divBdr>
        <w:top w:val="none" w:sz="0" w:space="0" w:color="auto"/>
        <w:left w:val="none" w:sz="0" w:space="0" w:color="auto"/>
        <w:bottom w:val="none" w:sz="0" w:space="0" w:color="auto"/>
        <w:right w:val="none" w:sz="0" w:space="0" w:color="auto"/>
      </w:divBdr>
    </w:div>
    <w:div w:id="223681561">
      <w:bodyDiv w:val="1"/>
      <w:marLeft w:val="0"/>
      <w:marRight w:val="0"/>
      <w:marTop w:val="0"/>
      <w:marBottom w:val="0"/>
      <w:divBdr>
        <w:top w:val="none" w:sz="0" w:space="0" w:color="auto"/>
        <w:left w:val="none" w:sz="0" w:space="0" w:color="auto"/>
        <w:bottom w:val="none" w:sz="0" w:space="0" w:color="auto"/>
        <w:right w:val="none" w:sz="0" w:space="0" w:color="auto"/>
      </w:divBdr>
    </w:div>
    <w:div w:id="385691198">
      <w:bodyDiv w:val="1"/>
      <w:marLeft w:val="0"/>
      <w:marRight w:val="0"/>
      <w:marTop w:val="0"/>
      <w:marBottom w:val="0"/>
      <w:divBdr>
        <w:top w:val="none" w:sz="0" w:space="0" w:color="auto"/>
        <w:left w:val="none" w:sz="0" w:space="0" w:color="auto"/>
        <w:bottom w:val="none" w:sz="0" w:space="0" w:color="auto"/>
        <w:right w:val="none" w:sz="0" w:space="0" w:color="auto"/>
      </w:divBdr>
    </w:div>
    <w:div w:id="482697554">
      <w:bodyDiv w:val="1"/>
      <w:marLeft w:val="0"/>
      <w:marRight w:val="0"/>
      <w:marTop w:val="0"/>
      <w:marBottom w:val="0"/>
      <w:divBdr>
        <w:top w:val="none" w:sz="0" w:space="0" w:color="auto"/>
        <w:left w:val="none" w:sz="0" w:space="0" w:color="auto"/>
        <w:bottom w:val="none" w:sz="0" w:space="0" w:color="auto"/>
        <w:right w:val="none" w:sz="0" w:space="0" w:color="auto"/>
      </w:divBdr>
    </w:div>
    <w:div w:id="516236523">
      <w:bodyDiv w:val="1"/>
      <w:marLeft w:val="0"/>
      <w:marRight w:val="0"/>
      <w:marTop w:val="0"/>
      <w:marBottom w:val="0"/>
      <w:divBdr>
        <w:top w:val="none" w:sz="0" w:space="0" w:color="auto"/>
        <w:left w:val="none" w:sz="0" w:space="0" w:color="auto"/>
        <w:bottom w:val="none" w:sz="0" w:space="0" w:color="auto"/>
        <w:right w:val="none" w:sz="0" w:space="0" w:color="auto"/>
      </w:divBdr>
    </w:div>
    <w:div w:id="575432932">
      <w:bodyDiv w:val="1"/>
      <w:marLeft w:val="0"/>
      <w:marRight w:val="0"/>
      <w:marTop w:val="0"/>
      <w:marBottom w:val="0"/>
      <w:divBdr>
        <w:top w:val="none" w:sz="0" w:space="0" w:color="auto"/>
        <w:left w:val="none" w:sz="0" w:space="0" w:color="auto"/>
        <w:bottom w:val="none" w:sz="0" w:space="0" w:color="auto"/>
        <w:right w:val="none" w:sz="0" w:space="0" w:color="auto"/>
      </w:divBdr>
    </w:div>
    <w:div w:id="722555775">
      <w:bodyDiv w:val="1"/>
      <w:marLeft w:val="0"/>
      <w:marRight w:val="0"/>
      <w:marTop w:val="0"/>
      <w:marBottom w:val="0"/>
      <w:divBdr>
        <w:top w:val="none" w:sz="0" w:space="0" w:color="auto"/>
        <w:left w:val="none" w:sz="0" w:space="0" w:color="auto"/>
        <w:bottom w:val="none" w:sz="0" w:space="0" w:color="auto"/>
        <w:right w:val="none" w:sz="0" w:space="0" w:color="auto"/>
      </w:divBdr>
    </w:div>
    <w:div w:id="1072629470">
      <w:bodyDiv w:val="1"/>
      <w:marLeft w:val="0"/>
      <w:marRight w:val="0"/>
      <w:marTop w:val="0"/>
      <w:marBottom w:val="0"/>
      <w:divBdr>
        <w:top w:val="none" w:sz="0" w:space="0" w:color="auto"/>
        <w:left w:val="none" w:sz="0" w:space="0" w:color="auto"/>
        <w:bottom w:val="none" w:sz="0" w:space="0" w:color="auto"/>
        <w:right w:val="none" w:sz="0" w:space="0" w:color="auto"/>
      </w:divBdr>
    </w:div>
    <w:div w:id="1305164402">
      <w:bodyDiv w:val="1"/>
      <w:marLeft w:val="0"/>
      <w:marRight w:val="0"/>
      <w:marTop w:val="0"/>
      <w:marBottom w:val="0"/>
      <w:divBdr>
        <w:top w:val="none" w:sz="0" w:space="0" w:color="auto"/>
        <w:left w:val="none" w:sz="0" w:space="0" w:color="auto"/>
        <w:bottom w:val="none" w:sz="0" w:space="0" w:color="auto"/>
        <w:right w:val="none" w:sz="0" w:space="0" w:color="auto"/>
      </w:divBdr>
    </w:div>
    <w:div w:id="1558737976">
      <w:bodyDiv w:val="1"/>
      <w:marLeft w:val="0"/>
      <w:marRight w:val="0"/>
      <w:marTop w:val="0"/>
      <w:marBottom w:val="0"/>
      <w:divBdr>
        <w:top w:val="none" w:sz="0" w:space="0" w:color="auto"/>
        <w:left w:val="none" w:sz="0" w:space="0" w:color="auto"/>
        <w:bottom w:val="none" w:sz="0" w:space="0" w:color="auto"/>
        <w:right w:val="none" w:sz="0" w:space="0" w:color="auto"/>
      </w:divBdr>
    </w:div>
    <w:div w:id="1919249269">
      <w:bodyDiv w:val="1"/>
      <w:marLeft w:val="0"/>
      <w:marRight w:val="0"/>
      <w:marTop w:val="0"/>
      <w:marBottom w:val="0"/>
      <w:divBdr>
        <w:top w:val="none" w:sz="0" w:space="0" w:color="auto"/>
        <w:left w:val="none" w:sz="0" w:space="0" w:color="auto"/>
        <w:bottom w:val="none" w:sz="0" w:space="0" w:color="auto"/>
        <w:right w:val="none" w:sz="0" w:space="0" w:color="auto"/>
      </w:divBdr>
    </w:div>
    <w:div w:id="20440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1737</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Total roads expenditure</vt:lpstr>
    </vt:vector>
  </TitlesOfParts>
  <Company>VicRoads</Company>
  <LinksUpToDate>false</LinksUpToDate>
  <CharactersWithSpaces>12226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roads expenditure</dc:title>
  <dc:subject/>
  <dc:creator>parkerl</dc:creator>
  <cp:keywords/>
  <dc:description/>
  <cp:lastModifiedBy>kennedp</cp:lastModifiedBy>
  <cp:revision>3</cp:revision>
  <cp:lastPrinted>2012-12-04T01:17:00Z</cp:lastPrinted>
  <dcterms:created xsi:type="dcterms:W3CDTF">2014-09-25T02:42:00Z</dcterms:created>
  <dcterms:modified xsi:type="dcterms:W3CDTF">2014-09-25T03:50:00Z</dcterms:modified>
</cp:coreProperties>
</file>